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0D9D52FE"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A10DA9">
        <w:rPr>
          <w:rFonts w:cs="Arial"/>
          <w:noProof w:val="0"/>
          <w:sz w:val="24"/>
          <w:lang w:val="en-GB"/>
        </w:rPr>
        <w:t>2</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3E7950">
        <w:rPr>
          <w:rFonts w:cs="Arial"/>
          <w:noProof w:val="0"/>
          <w:sz w:val="24"/>
          <w:lang w:val="en-GB"/>
        </w:rPr>
        <w:t>1739</w:t>
      </w:r>
    </w:p>
    <w:p w14:paraId="2F5691AE" w14:textId="24B0B40A"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662FFE">
        <w:rPr>
          <w:rFonts w:eastAsia="SimSun" w:cs="Arial"/>
          <w:noProof w:val="0"/>
          <w:sz w:val="24"/>
          <w:szCs w:val="22"/>
          <w:lang w:val="en-GB"/>
        </w:rPr>
        <w:t>May</w:t>
      </w:r>
      <w:r w:rsidR="005070DD" w:rsidRPr="00457694">
        <w:rPr>
          <w:rFonts w:eastAsia="SimSun" w:cs="Arial"/>
          <w:noProof w:val="0"/>
          <w:sz w:val="24"/>
          <w:szCs w:val="22"/>
          <w:lang w:val="en-GB"/>
        </w:rPr>
        <w:t xml:space="preserve"> </w:t>
      </w:r>
      <w:r w:rsidR="00662FFE">
        <w:rPr>
          <w:rFonts w:eastAsia="SimSun" w:cs="Arial"/>
          <w:noProof w:val="0"/>
          <w:sz w:val="24"/>
          <w:szCs w:val="22"/>
          <w:lang w:val="en-GB"/>
        </w:rPr>
        <w:t>17</w:t>
      </w:r>
      <w:r w:rsidR="00D1627E" w:rsidRPr="00457694">
        <w:rPr>
          <w:rFonts w:eastAsia="SimSun" w:cs="Arial"/>
          <w:noProof w:val="0"/>
          <w:sz w:val="24"/>
          <w:szCs w:val="22"/>
          <w:lang w:val="en-GB"/>
        </w:rPr>
        <w:t xml:space="preserve"> – </w:t>
      </w:r>
      <w:r w:rsidR="00662FFE">
        <w:rPr>
          <w:rFonts w:eastAsia="SimSun" w:cs="Arial"/>
          <w:noProof w:val="0"/>
          <w:sz w:val="24"/>
          <w:szCs w:val="22"/>
          <w:lang w:val="en-GB"/>
        </w:rPr>
        <w:t>28</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7C363466"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13.2.1</w:t>
      </w:r>
      <w:r w:rsidR="005F45FD">
        <w:rPr>
          <w:rFonts w:cs="Arial"/>
          <w:lang w:val="en-GB"/>
        </w:rPr>
        <w:t>.1</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6148BBF8" w:rsidR="00F23A10" w:rsidRPr="00047C8D" w:rsidRDefault="00F23A10" w:rsidP="00883F73">
      <w:pPr>
        <w:tabs>
          <w:tab w:val="left" w:pos="1701"/>
        </w:tabs>
        <w:ind w:left="1701" w:hanging="1701"/>
        <w:rPr>
          <w:rFonts w:cs="Arial"/>
          <w:b/>
          <w:bCs/>
          <w:sz w:val="24"/>
        </w:rPr>
      </w:pPr>
      <w:r w:rsidRPr="00047C8D">
        <w:rPr>
          <w:rFonts w:cs="Arial"/>
          <w:b/>
          <w:bCs/>
          <w:sz w:val="24"/>
        </w:rPr>
        <w:t>Title:</w:t>
      </w:r>
      <w:r w:rsidRPr="00047C8D">
        <w:rPr>
          <w:rFonts w:cs="Arial"/>
          <w:bCs/>
          <w:sz w:val="24"/>
        </w:rPr>
        <w:tab/>
      </w:r>
      <w:r w:rsidR="00AE303A" w:rsidRPr="00047C8D">
        <w:rPr>
          <w:rFonts w:cs="Arial"/>
          <w:b/>
          <w:bCs/>
          <w:sz w:val="24"/>
        </w:rPr>
        <w:t xml:space="preserve">Inter-donor </w:t>
      </w:r>
      <w:r w:rsidR="00573552">
        <w:rPr>
          <w:rFonts w:cs="Arial"/>
          <w:b/>
          <w:bCs/>
          <w:sz w:val="24"/>
        </w:rPr>
        <w:t>topology adaptation procedures</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3F58A99A" w:rsidR="00354E5F"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047C8D">
        <w:rPr>
          <w:rFonts w:ascii="Arial" w:eastAsia="Times New Roman" w:hAnsi="Arial" w:cs="Arial"/>
          <w:sz w:val="20"/>
          <w:szCs w:val="20"/>
          <w:lang w:val="en-US" w:eastAsia="en-US"/>
        </w:rPr>
        <w:t>1</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Style w:val="TableGrid"/>
        <w:tblW w:w="0" w:type="auto"/>
        <w:tblLook w:val="04A0" w:firstRow="1" w:lastRow="0" w:firstColumn="1" w:lastColumn="0" w:noHBand="0" w:noVBand="1"/>
      </w:tblPr>
      <w:tblGrid>
        <w:gridCol w:w="9629"/>
      </w:tblGrid>
      <w:tr w:rsidR="00A10DA9" w14:paraId="12145C7F" w14:textId="77777777" w:rsidTr="00A10DA9">
        <w:tc>
          <w:tcPr>
            <w:tcW w:w="9629" w:type="dxa"/>
          </w:tcPr>
          <w:p w14:paraId="3411F5B2" w14:textId="77777777" w:rsidR="004B6863" w:rsidRPr="004B6863" w:rsidRDefault="004B6863" w:rsidP="004B6863">
            <w:pPr>
              <w:widowControl w:val="0"/>
              <w:spacing w:after="60"/>
              <w:ind w:left="144" w:hanging="144"/>
              <w:rPr>
                <w:rFonts w:ascii="Calibri" w:hAnsi="Calibri" w:cs="Calibri"/>
                <w:b/>
                <w:bCs/>
                <w:color w:val="00B050"/>
                <w:sz w:val="18"/>
                <w:szCs w:val="24"/>
              </w:rPr>
            </w:pPr>
            <w:r w:rsidRPr="004B6863">
              <w:rPr>
                <w:rFonts w:ascii="Calibri" w:hAnsi="Calibri" w:cs="Calibri"/>
                <w:b/>
                <w:bCs/>
                <w:color w:val="00B050"/>
                <w:sz w:val="18"/>
                <w:szCs w:val="24"/>
              </w:rPr>
              <w:t>WA:</w:t>
            </w:r>
          </w:p>
          <w:p w14:paraId="300B7D17" w14:textId="77777777" w:rsidR="004B6863" w:rsidRPr="004B6863" w:rsidRDefault="004B6863" w:rsidP="004B6863">
            <w:pPr>
              <w:widowControl w:val="0"/>
              <w:spacing w:after="60"/>
              <w:ind w:left="144" w:hanging="144"/>
              <w:rPr>
                <w:rFonts w:ascii="Calibri" w:hAnsi="Calibri" w:cs="Calibri"/>
                <w:b/>
                <w:bCs/>
                <w:color w:val="00B050"/>
                <w:sz w:val="18"/>
                <w:szCs w:val="24"/>
              </w:rPr>
            </w:pPr>
            <w:r w:rsidRPr="004B6863">
              <w:rPr>
                <w:rFonts w:ascii="Calibri" w:hAnsi="Calibri" w:cs="Calibri"/>
                <w:b/>
                <w:bCs/>
                <w:color w:val="00B050"/>
                <w:sz w:val="18"/>
                <w:szCs w:val="24"/>
              </w:rPr>
              <w:t>migration of collocated IAB-DU after the migration of the (top-level) migrating IAB-MT, is not precluded</w:t>
            </w:r>
          </w:p>
          <w:p w14:paraId="43CAA383" w14:textId="77777777" w:rsidR="004B6863" w:rsidRPr="004B6863" w:rsidRDefault="004B6863" w:rsidP="004B6863">
            <w:pPr>
              <w:widowControl w:val="0"/>
              <w:spacing w:after="60"/>
              <w:ind w:left="144" w:hanging="144"/>
              <w:rPr>
                <w:rFonts w:ascii="Calibri" w:hAnsi="Calibri" w:cs="Calibri"/>
                <w:b/>
                <w:bCs/>
                <w:color w:val="00B050"/>
                <w:sz w:val="18"/>
                <w:szCs w:val="24"/>
              </w:rPr>
            </w:pPr>
            <w:r w:rsidRPr="004B6863">
              <w:rPr>
                <w:rFonts w:ascii="Calibri" w:hAnsi="Calibri" w:cs="Calibri"/>
                <w:b/>
                <w:bCs/>
                <w:color w:val="00B050"/>
                <w:sz w:val="18"/>
                <w:szCs w:val="24"/>
              </w:rPr>
              <w:t xml:space="preserve">If collocated IAB-DU is migrated, the Inter-donor migration procedure involves, among others: </w:t>
            </w:r>
          </w:p>
          <w:p w14:paraId="4FEFAF5B" w14:textId="77777777" w:rsidR="004B6863" w:rsidRPr="004B6863" w:rsidRDefault="004B6863" w:rsidP="004B6863">
            <w:pPr>
              <w:widowControl w:val="0"/>
              <w:spacing w:after="60"/>
              <w:ind w:left="144" w:hanging="144"/>
              <w:rPr>
                <w:rFonts w:ascii="Calibri" w:hAnsi="Calibri" w:cs="Calibri"/>
                <w:b/>
                <w:bCs/>
                <w:color w:val="00B050"/>
                <w:sz w:val="18"/>
                <w:szCs w:val="24"/>
              </w:rPr>
            </w:pPr>
            <w:r w:rsidRPr="004B6863">
              <w:rPr>
                <w:rFonts w:ascii="Calibri" w:hAnsi="Calibri" w:cs="Calibri"/>
                <w:b/>
                <w:bCs/>
                <w:color w:val="00B050"/>
                <w:sz w:val="18"/>
                <w:szCs w:val="24"/>
              </w:rPr>
              <w:t xml:space="preserve">- the establishment of an F1-C association to the target donor, and </w:t>
            </w:r>
          </w:p>
          <w:p w14:paraId="7E4E04A0" w14:textId="18CCBE60" w:rsidR="00A10DA9" w:rsidRPr="004B6863" w:rsidRDefault="004B6863" w:rsidP="004B6863">
            <w:pPr>
              <w:widowControl w:val="0"/>
              <w:spacing w:after="60"/>
              <w:ind w:left="144" w:hanging="144"/>
              <w:rPr>
                <w:rFonts w:ascii="Calibri" w:hAnsi="Calibri" w:cs="Calibri"/>
                <w:b/>
                <w:bCs/>
                <w:color w:val="00B050"/>
                <w:sz w:val="18"/>
                <w:szCs w:val="24"/>
              </w:rPr>
            </w:pPr>
            <w:r w:rsidRPr="004B6863">
              <w:rPr>
                <w:rFonts w:ascii="Calibri" w:hAnsi="Calibri" w:cs="Calibri"/>
                <w:b/>
                <w:bCs/>
                <w:color w:val="00B050"/>
                <w:sz w:val="18"/>
                <w:szCs w:val="24"/>
              </w:rPr>
              <w:t>- the context migration of the IAB-DU’s UEs and child IAB-MTs to the target CU.</w:t>
            </w:r>
          </w:p>
        </w:tc>
      </w:tr>
    </w:tbl>
    <w:p w14:paraId="03DFB8C2" w14:textId="4E342B22" w:rsidR="00A10DA9" w:rsidRDefault="00A10DA9" w:rsidP="000A2F0D">
      <w:pPr>
        <w:pStyle w:val="ListParagraph"/>
        <w:spacing w:after="160" w:line="252" w:lineRule="auto"/>
        <w:ind w:left="0"/>
        <w:contextualSpacing/>
        <w:rPr>
          <w:rFonts w:ascii="Arial" w:eastAsia="Times New Roman" w:hAnsi="Arial" w:cs="Arial"/>
          <w:sz w:val="20"/>
          <w:szCs w:val="20"/>
          <w:lang w:val="en-US" w:eastAsia="en-US"/>
        </w:rPr>
      </w:pPr>
    </w:p>
    <w:p w14:paraId="1A98B235" w14:textId="2C613B12" w:rsidR="00A10DA9" w:rsidRDefault="00A10DA9" w:rsidP="00A10DA9">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 RAN Meeting #1</w:t>
      </w:r>
      <w:r w:rsidR="00047C8D">
        <w:rPr>
          <w:rFonts w:ascii="Arial" w:eastAsia="Times New Roman" w:hAnsi="Arial" w:cs="Arial"/>
          <w:sz w:val="20"/>
          <w:szCs w:val="20"/>
          <w:lang w:val="en-US" w:eastAsia="en-US"/>
        </w:rPr>
        <w:t>10</w:t>
      </w:r>
      <w:r w:rsidRPr="00042FB9">
        <w:rPr>
          <w:rFonts w:ascii="Arial" w:eastAsia="Times New Roman" w:hAnsi="Arial" w:cs="Arial"/>
          <w:sz w:val="20"/>
          <w:szCs w:val="20"/>
          <w:lang w:val="en-US" w:eastAsia="en-US"/>
        </w:rPr>
        <w:t xml:space="preserve">e, the following agreements have been achieved (green) and the following additional notes have been made by the chairman (red)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2C3E60DB" w14:textId="4A92F501" w:rsidR="004B6863" w:rsidRDefault="000A2F0D" w:rsidP="004B6863">
            <w:pPr>
              <w:widowControl w:val="0"/>
              <w:spacing w:after="60"/>
              <w:ind w:left="144" w:hanging="144"/>
              <w:rPr>
                <w:rFonts w:ascii="Calibri" w:hAnsi="Calibri" w:cs="Calibri"/>
                <w:b/>
                <w:bCs/>
                <w:color w:val="00B050"/>
                <w:sz w:val="18"/>
                <w:szCs w:val="24"/>
              </w:rPr>
            </w:pPr>
            <w:r w:rsidRPr="00457694">
              <w:rPr>
                <w:rFonts w:cs="Arial"/>
                <w:bCs/>
                <w:color w:val="7030A0"/>
                <w:sz w:val="18"/>
                <w:szCs w:val="24"/>
              </w:rPr>
              <w:t xml:space="preserve"> </w:t>
            </w:r>
            <w:r w:rsidR="004B6863">
              <w:rPr>
                <w:rFonts w:ascii="Calibri" w:hAnsi="Calibri" w:cs="Calibri"/>
                <w:b/>
                <w:bCs/>
                <w:color w:val="00B050"/>
                <w:sz w:val="18"/>
                <w:szCs w:val="24"/>
              </w:rPr>
              <w:t>It is not precluded for an IAB node to have simultaneous F1 interfaces to 2 donor CUs using the concept of separate logical IAB-DUs in the same physical node</w:t>
            </w:r>
          </w:p>
          <w:p w14:paraId="443DF615" w14:textId="25972DCE" w:rsidR="004B6863" w:rsidRDefault="004B6863" w:rsidP="004B6863">
            <w:pPr>
              <w:widowControl w:val="0"/>
              <w:spacing w:after="60"/>
              <w:ind w:left="144" w:hanging="144"/>
              <w:rPr>
                <w:rFonts w:ascii="Calibri" w:hAnsi="Calibri" w:cs="Calibri"/>
                <w:b/>
                <w:color w:val="FF0000"/>
                <w:sz w:val="18"/>
                <w:szCs w:val="24"/>
              </w:rPr>
            </w:pPr>
            <w:r>
              <w:rPr>
                <w:rFonts w:ascii="Calibri" w:hAnsi="Calibri" w:cs="Calibri"/>
                <w:b/>
                <w:color w:val="FF0000"/>
                <w:sz w:val="18"/>
                <w:szCs w:val="24"/>
              </w:rPr>
              <w:t>Common understanding that when the IAB-DU migrates to the new IAB-donor, the NCI of the IAB-DU’s cell reflect the identifiers of the new donor</w:t>
            </w:r>
          </w:p>
          <w:p w14:paraId="2AE4AF19" w14:textId="77777777" w:rsidR="004B6863" w:rsidRDefault="004B6863" w:rsidP="004B6863">
            <w:pPr>
              <w:widowControl w:val="0"/>
              <w:spacing w:after="60"/>
              <w:ind w:left="144" w:hanging="144"/>
              <w:rPr>
                <w:rFonts w:ascii="Calibri" w:hAnsi="Calibri" w:cs="Calibri"/>
                <w:b/>
                <w:bCs/>
                <w:color w:val="00B050"/>
                <w:sz w:val="18"/>
                <w:szCs w:val="24"/>
              </w:rPr>
            </w:pPr>
            <w:r>
              <w:rPr>
                <w:rFonts w:ascii="Calibri" w:hAnsi="Calibri" w:cs="Calibri"/>
                <w:b/>
                <w:bCs/>
                <w:color w:val="00B050"/>
                <w:sz w:val="18"/>
                <w:szCs w:val="24"/>
              </w:rPr>
              <w:t>Given that the IAB-DU cells can only be configured by one donor at a time, the timing for the switching of such cells with respect to the migration of the collocated IAB-MT are FFS</w:t>
            </w:r>
          </w:p>
          <w:p w14:paraId="784EA802" w14:textId="77777777" w:rsidR="004B6863" w:rsidRDefault="004B6863" w:rsidP="004B6863">
            <w:pPr>
              <w:widowControl w:val="0"/>
              <w:spacing w:after="60"/>
              <w:ind w:left="144" w:hanging="144"/>
              <w:rPr>
                <w:rFonts w:ascii="Calibri" w:hAnsi="Calibri" w:cs="Calibri"/>
                <w:b/>
                <w:color w:val="FF0000"/>
                <w:sz w:val="18"/>
                <w:szCs w:val="24"/>
              </w:rPr>
            </w:pPr>
            <w:r>
              <w:rPr>
                <w:rFonts w:ascii="Calibri" w:hAnsi="Calibri" w:cs="Calibri"/>
                <w:b/>
                <w:color w:val="FF0000"/>
                <w:sz w:val="18"/>
                <w:szCs w:val="24"/>
              </w:rPr>
              <w:t>Common understanding that current agreements still hold</w:t>
            </w:r>
          </w:p>
          <w:p w14:paraId="49926F23" w14:textId="77777777" w:rsidR="004B6863" w:rsidRDefault="004B6863" w:rsidP="004B6863">
            <w:pPr>
              <w:widowControl w:val="0"/>
              <w:spacing w:after="60"/>
              <w:ind w:left="144" w:hanging="144"/>
              <w:rPr>
                <w:rFonts w:ascii="Calibri" w:hAnsi="Calibri" w:cs="Calibri"/>
                <w:b/>
                <w:bCs/>
                <w:color w:val="00B050"/>
                <w:sz w:val="18"/>
                <w:szCs w:val="24"/>
              </w:rPr>
            </w:pPr>
            <w:r>
              <w:rPr>
                <w:rFonts w:ascii="Calibri" w:hAnsi="Calibri" w:cs="Calibri"/>
                <w:b/>
                <w:bCs/>
                <w:color w:val="00B050"/>
                <w:sz w:val="18"/>
                <w:szCs w:val="24"/>
              </w:rPr>
              <w:t xml:space="preserve">As a consequence of adopting the Xn HO prep procedure as BL, the new IAB-donor needs to have an F1AP association with the IAB-DU holding the target cell before responding to the initiating message of the UE migration procedure </w:t>
            </w:r>
          </w:p>
          <w:p w14:paraId="401FF71C" w14:textId="1440C093" w:rsidR="004B6863" w:rsidRDefault="004B6863" w:rsidP="004B6863">
            <w:pPr>
              <w:widowControl w:val="0"/>
              <w:spacing w:after="60"/>
              <w:ind w:left="144" w:hanging="144"/>
              <w:rPr>
                <w:rFonts w:ascii="Calibri" w:hAnsi="Calibri" w:cs="Calibri"/>
                <w:color w:val="00B050"/>
                <w:sz w:val="18"/>
                <w:szCs w:val="24"/>
              </w:rPr>
            </w:pPr>
            <w:r>
              <w:rPr>
                <w:rFonts w:ascii="Calibri" w:hAnsi="Calibri" w:cs="Calibri"/>
                <w:color w:val="00B050"/>
                <w:sz w:val="18"/>
                <w:szCs w:val="24"/>
              </w:rPr>
              <w:t>U</w:t>
            </w:r>
            <w:r>
              <w:rPr>
                <w:rFonts w:ascii="Calibri" w:hAnsi="Calibri" w:cs="Calibri"/>
                <w:b/>
                <w:bCs/>
                <w:color w:val="00B050"/>
                <w:sz w:val="18"/>
                <w:szCs w:val="24"/>
              </w:rPr>
              <w:t>E-migration to the new IAB-donor requires security context/key change</w:t>
            </w:r>
          </w:p>
          <w:p w14:paraId="036E501F" w14:textId="11C841DA" w:rsidR="004B6863" w:rsidRPr="004B6863" w:rsidRDefault="004B6863" w:rsidP="004B6863">
            <w:pPr>
              <w:widowControl w:val="0"/>
              <w:spacing w:after="60"/>
              <w:ind w:left="144" w:hanging="144"/>
              <w:rPr>
                <w:rFonts w:ascii="Calibri" w:hAnsi="Calibri" w:cs="Calibri"/>
                <w:b/>
                <w:bCs/>
                <w:color w:val="00B050"/>
                <w:sz w:val="18"/>
                <w:szCs w:val="24"/>
              </w:rPr>
            </w:pPr>
            <w:r>
              <w:rPr>
                <w:rFonts w:ascii="Calibri" w:hAnsi="Calibri" w:cs="Calibri"/>
                <w:b/>
                <w:bCs/>
                <w:color w:val="00B050"/>
                <w:sz w:val="18"/>
                <w:szCs w:val="24"/>
              </w:rPr>
              <w:t>For IAB-MT migration, continue to discuss full and gradual sequences to migrate IAB-MT, UEs and descendent nodes</w:t>
            </w:r>
          </w:p>
        </w:tc>
      </w:tr>
    </w:tbl>
    <w:p w14:paraId="665667C0" w14:textId="77777777" w:rsidR="00321AFE" w:rsidRPr="00457694" w:rsidRDefault="00321AFE" w:rsidP="00986D2C">
      <w:pPr>
        <w:spacing w:after="0"/>
        <w:rPr>
          <w:rFonts w:cs="Arial"/>
        </w:rPr>
      </w:pPr>
    </w:p>
    <w:p w14:paraId="646C7274" w14:textId="633032F0" w:rsidR="00151FFC" w:rsidRDefault="00151FFC" w:rsidP="00151FFC">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 RAN Meeting #1</w:t>
      </w:r>
      <w:r w:rsidR="00047C8D">
        <w:rPr>
          <w:rFonts w:ascii="Arial" w:eastAsia="Times New Roman" w:hAnsi="Arial" w:cs="Arial"/>
          <w:sz w:val="20"/>
          <w:szCs w:val="20"/>
          <w:lang w:val="en-US" w:eastAsia="en-US"/>
        </w:rPr>
        <w:t>09</w:t>
      </w:r>
      <w:r w:rsidRPr="00042FB9">
        <w:rPr>
          <w:rFonts w:ascii="Arial" w:eastAsia="Times New Roman" w:hAnsi="Arial" w:cs="Arial"/>
          <w:sz w:val="20"/>
          <w:szCs w:val="20"/>
          <w:lang w:val="en-US" w:eastAsia="en-US"/>
        </w:rPr>
        <w:t>e, the following agreements have been achieved [</w:t>
      </w:r>
      <w:r w:rsidR="008461FF">
        <w:rPr>
          <w:rFonts w:ascii="Arial" w:eastAsia="Times New Roman" w:hAnsi="Arial" w:cs="Arial"/>
          <w:sz w:val="20"/>
          <w:szCs w:val="20"/>
          <w:lang w:val="en-US" w:eastAsia="en-US"/>
        </w:rPr>
        <w:t>3</w:t>
      </w:r>
      <w:r w:rsidRPr="00042FB9">
        <w:rPr>
          <w:rFonts w:ascii="Arial" w:eastAsia="Times New Roman" w:hAnsi="Arial" w:cs="Arial"/>
          <w:sz w:val="20"/>
          <w:szCs w:val="20"/>
          <w:lang w:val="en-US" w:eastAsia="en-US"/>
        </w:rPr>
        <w:t xml:space="preserve">]: </w:t>
      </w:r>
    </w:p>
    <w:tbl>
      <w:tblPr>
        <w:tblStyle w:val="TableGrid"/>
        <w:tblW w:w="0" w:type="auto"/>
        <w:tblLook w:val="04A0" w:firstRow="1" w:lastRow="0" w:firstColumn="1" w:lastColumn="0" w:noHBand="0" w:noVBand="1"/>
      </w:tblPr>
      <w:tblGrid>
        <w:gridCol w:w="9629"/>
      </w:tblGrid>
      <w:tr w:rsidR="00DD4190" w14:paraId="46247336" w14:textId="77777777" w:rsidTr="00DD4190">
        <w:tc>
          <w:tcPr>
            <w:tcW w:w="9629" w:type="dxa"/>
          </w:tcPr>
          <w:p w14:paraId="4ACAC63C"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The migration mechanism should allow to migrate to another donor all or some devices (the IAB nodes and/or UEs directly or indirectly served by the top-level IAB node).</w:t>
            </w:r>
          </w:p>
          <w:p w14:paraId="2AC75F90" w14:textId="63C4BF32" w:rsidR="00DD4190" w:rsidRPr="00C044CA" w:rsidRDefault="00DD4190" w:rsidP="00DD4190">
            <w:pPr>
              <w:widowControl w:val="0"/>
              <w:spacing w:after="60"/>
              <w:ind w:left="144" w:hanging="144"/>
              <w:rPr>
                <w:rFonts w:ascii="Calibri" w:hAnsi="Calibri" w:cs="Calibri"/>
                <w:color w:val="000000"/>
                <w:sz w:val="18"/>
                <w:szCs w:val="24"/>
              </w:rPr>
            </w:pPr>
            <w:r>
              <w:rPr>
                <w:rFonts w:ascii="Calibri" w:hAnsi="Calibri" w:cs="Calibri"/>
                <w:b/>
                <w:bCs/>
                <w:color w:val="00B050"/>
                <w:sz w:val="18"/>
                <w:szCs w:val="24"/>
              </w:rPr>
              <w:t>…</w:t>
            </w:r>
          </w:p>
          <w:p w14:paraId="68EEC81C" w14:textId="4F5CB12F" w:rsidR="00DD4190" w:rsidRPr="00DD4190"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UEs and IAB-MTs should not be forced into connection re-establishment in order to migrate to a new donor</w:t>
            </w:r>
          </w:p>
          <w:p w14:paraId="2B7FB73C"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The following information should be made available to the new donor:</w:t>
            </w:r>
          </w:p>
          <w:p w14:paraId="5DA54333"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1. Contexts of all involved UEs,</w:t>
            </w:r>
          </w:p>
          <w:p w14:paraId="280FE388"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2. Contexts of all involved MTs,</w:t>
            </w:r>
          </w:p>
          <w:p w14:paraId="04989062"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3. Contexts of all involved DUs,</w:t>
            </w:r>
          </w:p>
          <w:p w14:paraId="6BE7A703" w14:textId="77777777" w:rsidR="00DD4190" w:rsidRPr="00C044CA"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4. Backhaul and topology-related information,</w:t>
            </w:r>
          </w:p>
          <w:p w14:paraId="43995341" w14:textId="320625ED" w:rsidR="00DD4190" w:rsidRPr="00C044CA" w:rsidRDefault="00DD4190" w:rsidP="00DD4190">
            <w:pPr>
              <w:widowControl w:val="0"/>
              <w:spacing w:after="60"/>
              <w:ind w:left="144" w:hanging="144"/>
              <w:rPr>
                <w:rFonts w:ascii="Calibri" w:hAnsi="Calibri" w:cs="Calibri"/>
                <w:b/>
                <w:bCs/>
                <w:color w:val="000000"/>
                <w:sz w:val="18"/>
                <w:szCs w:val="24"/>
              </w:rPr>
            </w:pPr>
            <w:r w:rsidRPr="00C044CA">
              <w:rPr>
                <w:rFonts w:ascii="Calibri" w:hAnsi="Calibri" w:cs="Calibri"/>
                <w:b/>
                <w:bCs/>
                <w:color w:val="00B050"/>
                <w:sz w:val="18"/>
                <w:szCs w:val="24"/>
              </w:rPr>
              <w:t>5. IP address information</w:t>
            </w:r>
          </w:p>
          <w:p w14:paraId="1537F28E" w14:textId="30E9C45F" w:rsidR="00DD4190" w:rsidRPr="00DD4190"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Current signaling is taken as baseline for inter-donor migration of UEs and IAB-MTs</w:t>
            </w:r>
          </w:p>
          <w:p w14:paraId="713CD781" w14:textId="484D0F9C" w:rsidR="00DD4190" w:rsidRPr="00DD4190" w:rsidRDefault="00DD4190" w:rsidP="00DD4190">
            <w:pPr>
              <w:widowControl w:val="0"/>
              <w:spacing w:after="60"/>
              <w:ind w:left="144" w:hanging="144"/>
              <w:rPr>
                <w:rFonts w:ascii="Calibri" w:hAnsi="Calibri" w:cs="Calibri"/>
                <w:b/>
                <w:bCs/>
                <w:color w:val="00B050"/>
                <w:sz w:val="18"/>
                <w:szCs w:val="24"/>
              </w:rPr>
            </w:pPr>
            <w:r w:rsidRPr="00C044CA">
              <w:rPr>
                <w:rFonts w:ascii="Calibri" w:hAnsi="Calibri" w:cs="Calibri"/>
                <w:b/>
                <w:bCs/>
                <w:color w:val="00B050"/>
                <w:sz w:val="18"/>
                <w:szCs w:val="24"/>
              </w:rPr>
              <w:t>As baseline, IAB-MT migration should use a separate procedure w.r.t. the migration of the co-located IAB-DU, the served UEs and the served MTs</w:t>
            </w:r>
          </w:p>
        </w:tc>
      </w:tr>
    </w:tbl>
    <w:p w14:paraId="3CD57814" w14:textId="77777777" w:rsidR="00151FFC" w:rsidRDefault="00151FFC" w:rsidP="000A2F0D">
      <w:pPr>
        <w:pStyle w:val="ListParagraph"/>
        <w:spacing w:after="160" w:line="252" w:lineRule="auto"/>
        <w:ind w:left="0"/>
        <w:contextualSpacing/>
        <w:rPr>
          <w:rFonts w:ascii="Arial" w:eastAsia="Times New Roman" w:hAnsi="Arial" w:cs="Arial"/>
          <w:sz w:val="20"/>
          <w:szCs w:val="20"/>
          <w:lang w:val="en-US" w:eastAsia="en-US"/>
        </w:rPr>
      </w:pPr>
    </w:p>
    <w:p w14:paraId="40B1770B" w14:textId="0E3BA962"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discusses </w:t>
      </w:r>
      <w:r w:rsidR="008F5237">
        <w:rPr>
          <w:rFonts w:ascii="Arial" w:eastAsia="Times New Roman" w:hAnsi="Arial" w:cs="Arial"/>
          <w:sz w:val="20"/>
          <w:szCs w:val="20"/>
          <w:lang w:val="en-US" w:eastAsia="en-US"/>
        </w:rPr>
        <w:t xml:space="preserve">stage-2 procedures for </w:t>
      </w:r>
      <w:r w:rsidR="00E90BDF">
        <w:rPr>
          <w:rFonts w:ascii="Arial" w:eastAsia="Times New Roman" w:hAnsi="Arial" w:cs="Arial"/>
          <w:sz w:val="20"/>
          <w:szCs w:val="20"/>
          <w:lang w:val="en-US" w:eastAsia="en-US"/>
        </w:rPr>
        <w:t>inter-donor</w:t>
      </w:r>
      <w:r w:rsidR="008F5237">
        <w:rPr>
          <w:rFonts w:ascii="Arial" w:eastAsia="Times New Roman" w:hAnsi="Arial" w:cs="Arial"/>
          <w:sz w:val="20"/>
          <w:szCs w:val="20"/>
          <w:lang w:val="en-US" w:eastAsia="en-US"/>
        </w:rPr>
        <w:t xml:space="preserve"> migration of the IAB-DU</w:t>
      </w:r>
      <w:r w:rsidR="002D1241" w:rsidRPr="00042FB9">
        <w:rPr>
          <w:rFonts w:ascii="Arial" w:eastAsia="Times New Roman" w:hAnsi="Arial" w:cs="Arial"/>
          <w:sz w:val="20"/>
          <w:szCs w:val="20"/>
          <w:lang w:val="en-US" w:eastAsia="en-US"/>
        </w:rPr>
        <w:t>.</w:t>
      </w:r>
    </w:p>
    <w:p w14:paraId="2F5691C1" w14:textId="46852E28" w:rsidR="007361A8" w:rsidRDefault="002E14EA" w:rsidP="007361A8">
      <w:pPr>
        <w:pStyle w:val="Heading1"/>
        <w:rPr>
          <w:rFonts w:eastAsia="SimSun" w:cs="Arial"/>
          <w:lang w:val="en-US"/>
        </w:rPr>
      </w:pPr>
      <w:r>
        <w:rPr>
          <w:rFonts w:eastAsia="SimSun" w:cs="Arial"/>
          <w:lang w:val="en-US"/>
        </w:rPr>
        <w:lastRenderedPageBreak/>
        <w:t>Discussion</w:t>
      </w:r>
    </w:p>
    <w:p w14:paraId="19DA08EE" w14:textId="43115A5B" w:rsidR="005F45FD" w:rsidRPr="005F45FD" w:rsidRDefault="005F45FD" w:rsidP="005F45FD">
      <w:pPr>
        <w:pStyle w:val="Heading2"/>
      </w:pPr>
      <w:r>
        <w:t xml:space="preserve">Orchestration of inter-donor topology adaptation features </w:t>
      </w:r>
    </w:p>
    <w:p w14:paraId="4C8CC993" w14:textId="78F727DB" w:rsidR="005F45FD" w:rsidRDefault="005F45FD" w:rsidP="005F45FD">
      <w:r>
        <w:t xml:space="preserve">The following </w:t>
      </w:r>
      <w:r>
        <w:t>topology adaptation</w:t>
      </w:r>
      <w:r>
        <w:t xml:space="preserve"> features </w:t>
      </w:r>
      <w:r>
        <w:t>have been discussed</w:t>
      </w:r>
      <w:r>
        <w:t xml:space="preserve"> (including sub-options)</w:t>
      </w:r>
      <w:r>
        <w:t>; some of these features may be mut</w:t>
      </w:r>
      <w:r>
        <w:t>ually exclusive:</w:t>
      </w:r>
    </w:p>
    <w:p w14:paraId="501DF36E" w14:textId="77777777" w:rsidR="005F45FD" w:rsidRPr="005F45FD" w:rsidRDefault="005F45FD" w:rsidP="005F45FD">
      <w:pPr>
        <w:ind w:left="288"/>
        <w:rPr>
          <w:b/>
          <w:bCs/>
        </w:rPr>
      </w:pPr>
      <w:r w:rsidRPr="005F45FD">
        <w:rPr>
          <w:b/>
          <w:bCs/>
        </w:rPr>
        <w:t>1. Inter/intra-donor migration</w:t>
      </w:r>
    </w:p>
    <w:p w14:paraId="28109370" w14:textId="77777777" w:rsidR="005F45FD" w:rsidRDefault="005F45FD" w:rsidP="005F45FD">
      <w:pPr>
        <w:ind w:left="288"/>
      </w:pPr>
      <w:r>
        <w:tab/>
        <w:t>DU is migrated</w:t>
      </w:r>
    </w:p>
    <w:p w14:paraId="1EF4E650" w14:textId="77777777" w:rsidR="005F45FD" w:rsidRDefault="005F45FD" w:rsidP="005F45FD">
      <w:pPr>
        <w:ind w:left="288"/>
      </w:pPr>
      <w:r>
        <w:tab/>
        <w:t>DU is not migrated</w:t>
      </w:r>
    </w:p>
    <w:p w14:paraId="34344E80" w14:textId="77777777" w:rsidR="005F45FD" w:rsidRPr="005F45FD" w:rsidRDefault="005F45FD" w:rsidP="005F45FD">
      <w:pPr>
        <w:ind w:left="288"/>
        <w:rPr>
          <w:b/>
          <w:bCs/>
        </w:rPr>
      </w:pPr>
      <w:r w:rsidRPr="005F45FD">
        <w:rPr>
          <w:b/>
          <w:bCs/>
        </w:rPr>
        <w:t>2. Inter/intra-donor redundancy</w:t>
      </w:r>
    </w:p>
    <w:p w14:paraId="55B44A42" w14:textId="77777777" w:rsidR="005F45FD" w:rsidRDefault="005F45FD" w:rsidP="005F45FD">
      <w:pPr>
        <w:ind w:left="288"/>
      </w:pPr>
      <w:r>
        <w:tab/>
        <w:t>F1 terminated at SN</w:t>
      </w:r>
    </w:p>
    <w:p w14:paraId="0091A3F1" w14:textId="77777777" w:rsidR="005F45FD" w:rsidRDefault="005F45FD" w:rsidP="005F45FD">
      <w:pPr>
        <w:ind w:left="288"/>
      </w:pPr>
      <w:r>
        <w:tab/>
        <w:t>F1 terminated at MN</w:t>
      </w:r>
    </w:p>
    <w:p w14:paraId="6E4AFF7B" w14:textId="77777777" w:rsidR="005F45FD" w:rsidRPr="005F45FD" w:rsidRDefault="005F45FD" w:rsidP="005F45FD">
      <w:pPr>
        <w:ind w:left="288"/>
        <w:rPr>
          <w:b/>
          <w:bCs/>
        </w:rPr>
      </w:pPr>
      <w:r w:rsidRPr="005F45FD">
        <w:rPr>
          <w:b/>
          <w:bCs/>
        </w:rPr>
        <w:t>3. Inter/Intra-donor CP-UP separation</w:t>
      </w:r>
    </w:p>
    <w:p w14:paraId="4E3814F5" w14:textId="77777777" w:rsidR="005F45FD" w:rsidRDefault="005F45FD" w:rsidP="005F45FD">
      <w:pPr>
        <w:ind w:left="288"/>
      </w:pPr>
      <w:r>
        <w:tab/>
        <w:t>Scenario 1</w:t>
      </w:r>
    </w:p>
    <w:p w14:paraId="5888E95F" w14:textId="77777777" w:rsidR="005F45FD" w:rsidRDefault="005F45FD" w:rsidP="005F45FD">
      <w:pPr>
        <w:ind w:left="288"/>
      </w:pPr>
      <w:r>
        <w:tab/>
        <w:t>Scenario 2</w:t>
      </w:r>
    </w:p>
    <w:p w14:paraId="176DD0B5" w14:textId="18E93134" w:rsidR="005F45FD" w:rsidRDefault="005F45FD" w:rsidP="005F45FD">
      <w:r>
        <w:t xml:space="preserve">For </w:t>
      </w:r>
      <w:r w:rsidRPr="00874BEA">
        <w:rPr>
          <w:b/>
          <w:bCs/>
        </w:rPr>
        <w:t>intra</w:t>
      </w:r>
      <w:r>
        <w:t xml:space="preserve">-donor </w:t>
      </w:r>
      <w:r>
        <w:t xml:space="preserve">topology </w:t>
      </w:r>
      <w:r w:rsidR="001C181B">
        <w:t>adaptation</w:t>
      </w:r>
      <w:r>
        <w:t>, the CU-CP is the central node that can determine which of these scenarios and sub-options are applied.</w:t>
      </w:r>
    </w:p>
    <w:p w14:paraId="6AEC7882" w14:textId="67A12CF5" w:rsidR="005F45FD" w:rsidRDefault="005F45FD" w:rsidP="001C181B">
      <w:pPr>
        <w:jc w:val="left"/>
      </w:pPr>
      <w:r>
        <w:t xml:space="preserve">For </w:t>
      </w:r>
      <w:r w:rsidRPr="00874BEA">
        <w:rPr>
          <w:b/>
          <w:bCs/>
        </w:rPr>
        <w:t>inter</w:t>
      </w:r>
      <w:r>
        <w:t xml:space="preserve">-donor </w:t>
      </w:r>
      <w:r w:rsidR="001C181B">
        <w:t xml:space="preserve">topology </w:t>
      </w:r>
      <w:r w:rsidR="001C181B">
        <w:t>adaptation</w:t>
      </w:r>
      <w:r>
        <w:t>, coordination among donors is necessary</w:t>
      </w:r>
      <w:r w:rsidR="001C181B">
        <w:t xml:space="preserve"> to select among these features and initiate its execution</w:t>
      </w:r>
      <w:r>
        <w:t xml:space="preserve">. This becomes cumbersome </w:t>
      </w:r>
      <w:r w:rsidR="001C181B">
        <w:t>for an extended deployment area where</w:t>
      </w:r>
      <w:r>
        <w:t xml:space="preserve"> multiple IAB-donors </w:t>
      </w:r>
      <w:r w:rsidR="001C181B">
        <w:t>are</w:t>
      </w:r>
      <w:r>
        <w:t xml:space="preserve"> involved. The decision criteria are further multifold including time-variant aspects such BH link quality and capacity, traffic demand, latency requirements, load distribution, etc.</w:t>
      </w:r>
    </w:p>
    <w:p w14:paraId="54D37E4C" w14:textId="179738A3" w:rsidR="005F45FD" w:rsidRDefault="001C181B" w:rsidP="001C181B">
      <w:pPr>
        <w:jc w:val="left"/>
      </w:pPr>
      <w:r>
        <w:t>Further, s</w:t>
      </w:r>
      <w:r w:rsidR="005F45FD">
        <w:t>ince</w:t>
      </w:r>
      <w:r>
        <w:t xml:space="preserve"> </w:t>
      </w:r>
      <w:r w:rsidR="005F45FD">
        <w:t xml:space="preserve">inter-donor </w:t>
      </w:r>
      <w:r>
        <w:t>topology adaptation</w:t>
      </w:r>
      <w:r w:rsidR="005F45FD">
        <w:t xml:space="preserve"> </w:t>
      </w:r>
      <w:r>
        <w:t xml:space="preserve">has significant signaling overhead </w:t>
      </w:r>
      <w:r w:rsidR="005F45FD">
        <w:t xml:space="preserve">and may impose some </w:t>
      </w:r>
      <w:r>
        <w:t xml:space="preserve">degree of </w:t>
      </w:r>
      <w:r w:rsidR="005F45FD">
        <w:t xml:space="preserve">service interruption, it </w:t>
      </w:r>
      <w:r>
        <w:t>should</w:t>
      </w:r>
      <w:r w:rsidR="005F45FD">
        <w:t xml:space="preserve"> not be applied </w:t>
      </w:r>
      <w:r>
        <w:t>too</w:t>
      </w:r>
      <w:r w:rsidR="005F45FD">
        <w:t xml:space="preserve"> frequently.</w:t>
      </w:r>
      <w:r>
        <w:t xml:space="preserve"> </w:t>
      </w:r>
      <w:r w:rsidR="005F45FD">
        <w:t xml:space="preserve">For these reasons, inter-donor </w:t>
      </w:r>
      <w:r>
        <w:t>topology adaptation</w:t>
      </w:r>
      <w:r w:rsidR="005F45FD">
        <w:t xml:space="preserve"> should be handled via a centralized SON mechanism</w:t>
      </w:r>
      <w:r>
        <w:t>,</w:t>
      </w:r>
      <w:r w:rsidR="005F45FD">
        <w:t xml:space="preserve"> which retrieves performance metrics from the various RAN nodes and initiates migration procedures via OAM. RAN3 should </w:t>
      </w:r>
      <w:r>
        <w:t>ensure</w:t>
      </w:r>
      <w:r w:rsidR="005F45FD">
        <w:t xml:space="preserve"> the </w:t>
      </w:r>
      <w:r>
        <w:t xml:space="preserve">availability of the necessary </w:t>
      </w:r>
      <w:r>
        <w:t>performance metrics</w:t>
      </w:r>
      <w:r>
        <w:t xml:space="preserve"> and</w:t>
      </w:r>
      <w:r w:rsidR="005F45FD">
        <w:t xml:space="preserve"> </w:t>
      </w:r>
      <w:r>
        <w:t>topology adaptation</w:t>
      </w:r>
      <w:r w:rsidR="005F45FD">
        <w:t xml:space="preserve"> procedures</w:t>
      </w:r>
      <w:r>
        <w:t xml:space="preserve"> for this purpose</w:t>
      </w:r>
      <w:r w:rsidR="005F45FD">
        <w:t xml:space="preserve">. </w:t>
      </w:r>
      <w:r>
        <w:t xml:space="preserve">A follow-up </w:t>
      </w:r>
      <w:r w:rsidR="005F45FD">
        <w:t xml:space="preserve">SON WI can address potential enhancements to inter-donor </w:t>
      </w:r>
      <w:r>
        <w:t>topology adaptation</w:t>
      </w:r>
      <w:r w:rsidR="005F45FD">
        <w:t xml:space="preserve"> in later releases.</w:t>
      </w:r>
    </w:p>
    <w:p w14:paraId="50A0FD14" w14:textId="71EE34FF" w:rsidR="005F45FD" w:rsidRPr="00234F31" w:rsidRDefault="005F45FD" w:rsidP="001C181B">
      <w:pPr>
        <w:jc w:val="left"/>
        <w:rPr>
          <w:b/>
          <w:bCs/>
        </w:rPr>
      </w:pPr>
      <w:r w:rsidRPr="00234F31">
        <w:rPr>
          <w:b/>
          <w:bCs/>
        </w:rPr>
        <w:t>Proposal</w:t>
      </w:r>
      <w:r w:rsidR="001C181B">
        <w:rPr>
          <w:b/>
          <w:bCs/>
        </w:rPr>
        <w:t xml:space="preserve"> 1</w:t>
      </w:r>
      <w:r w:rsidRPr="00234F31">
        <w:rPr>
          <w:b/>
          <w:bCs/>
        </w:rPr>
        <w:t xml:space="preserve">: </w:t>
      </w:r>
      <w:r w:rsidR="001C181B">
        <w:rPr>
          <w:b/>
          <w:bCs/>
        </w:rPr>
        <w:t>The orchestration o</w:t>
      </w:r>
      <w:r w:rsidRPr="00234F31">
        <w:rPr>
          <w:b/>
          <w:bCs/>
        </w:rPr>
        <w:t xml:space="preserve">f inter-donor </w:t>
      </w:r>
      <w:r w:rsidR="001C181B">
        <w:rPr>
          <w:b/>
          <w:bCs/>
        </w:rPr>
        <w:t xml:space="preserve">topology adaptation </w:t>
      </w:r>
      <w:r w:rsidRPr="00234F31">
        <w:rPr>
          <w:b/>
          <w:bCs/>
        </w:rPr>
        <w:t>procedure</w:t>
      </w:r>
      <w:r w:rsidR="001C181B">
        <w:rPr>
          <w:b/>
          <w:bCs/>
        </w:rPr>
        <w:t>s</w:t>
      </w:r>
      <w:r w:rsidRPr="00234F31">
        <w:rPr>
          <w:b/>
          <w:bCs/>
        </w:rPr>
        <w:t xml:space="preserve">, i.e., IAB-node migration, inter-donor redundancy and/or inter-donor CP-UP separation and </w:t>
      </w:r>
      <w:r w:rsidR="001C181B">
        <w:rPr>
          <w:b/>
          <w:bCs/>
        </w:rPr>
        <w:t xml:space="preserve">respective </w:t>
      </w:r>
      <w:r w:rsidRPr="00234F31">
        <w:rPr>
          <w:b/>
          <w:bCs/>
        </w:rPr>
        <w:t>sub-options to be based on OAM. Enhancements to SON are FFS.</w:t>
      </w:r>
    </w:p>
    <w:p w14:paraId="4B19CF71" w14:textId="77777777" w:rsidR="005F45FD" w:rsidRDefault="005F45FD" w:rsidP="005F45FD">
      <w:pPr>
        <w:rPr>
          <w:b/>
          <w:bCs/>
        </w:rPr>
      </w:pPr>
    </w:p>
    <w:p w14:paraId="7E488D2B" w14:textId="405CA641" w:rsidR="005F45FD" w:rsidRDefault="005F45FD" w:rsidP="005F45FD"/>
    <w:p w14:paraId="3D62DA5D" w14:textId="5F286526" w:rsidR="005F45FD" w:rsidRPr="005F45FD" w:rsidRDefault="005F45FD" w:rsidP="005F45FD">
      <w:pPr>
        <w:pStyle w:val="Heading2"/>
      </w:pPr>
      <w:r>
        <w:lastRenderedPageBreak/>
        <w:t>Inter-donor IAB-node migration</w:t>
      </w:r>
    </w:p>
    <w:p w14:paraId="0CD2CFD8" w14:textId="64CE895E" w:rsidR="008253C4" w:rsidRDefault="00E72515" w:rsidP="00E72515">
      <w:pPr>
        <w:pStyle w:val="ListParagraph"/>
        <w:spacing w:after="60" w:line="252" w:lineRule="auto"/>
        <w:ind w:left="0"/>
        <w:jc w:val="center"/>
        <w:rPr>
          <w:rFonts w:ascii="Arial" w:eastAsia="Times New Roman" w:hAnsi="Arial" w:cs="Arial"/>
          <w:sz w:val="20"/>
          <w:szCs w:val="20"/>
          <w:lang w:val="en-US" w:eastAsia="en-US"/>
        </w:rPr>
      </w:pPr>
      <w:r>
        <w:object w:dxaOrig="15901" w:dyaOrig="7516" w14:anchorId="0E41A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28.85pt" o:ole="">
            <v:imagedata r:id="rId8" o:title=""/>
          </v:shape>
          <o:OLEObject Type="Embed" ProgID="Visio.Drawing.15" ShapeID="_x0000_i1025" DrawAspect="Content" ObjectID="_1681723498" r:id="rId9"/>
        </w:object>
      </w:r>
    </w:p>
    <w:p w14:paraId="5111A237" w14:textId="7B7DFB1C" w:rsidR="008253C4" w:rsidRPr="00E72515" w:rsidRDefault="00E72515" w:rsidP="00E72515">
      <w:pPr>
        <w:pStyle w:val="ListParagraph"/>
        <w:spacing w:after="60" w:line="252" w:lineRule="auto"/>
        <w:ind w:left="0"/>
        <w:jc w:val="center"/>
        <w:rPr>
          <w:rFonts w:ascii="Arial" w:eastAsia="Times New Roman" w:hAnsi="Arial" w:cs="Arial"/>
          <w:b/>
          <w:bCs/>
          <w:sz w:val="20"/>
          <w:szCs w:val="20"/>
          <w:lang w:val="en-US" w:eastAsia="en-US"/>
        </w:rPr>
      </w:pPr>
      <w:r w:rsidRPr="00E72515">
        <w:rPr>
          <w:rFonts w:ascii="Arial" w:eastAsia="Times New Roman" w:hAnsi="Arial" w:cs="Arial"/>
          <w:b/>
          <w:bCs/>
          <w:sz w:val="20"/>
          <w:szCs w:val="20"/>
          <w:lang w:val="en-US" w:eastAsia="en-US"/>
        </w:rPr>
        <w:t xml:space="preserve">Figure 1: Example topologies </w:t>
      </w:r>
      <w:r>
        <w:rPr>
          <w:rFonts w:ascii="Arial" w:eastAsia="Times New Roman" w:hAnsi="Arial" w:cs="Arial"/>
          <w:b/>
          <w:bCs/>
          <w:sz w:val="20"/>
          <w:szCs w:val="20"/>
          <w:lang w:val="en-US" w:eastAsia="en-US"/>
        </w:rPr>
        <w:t>with IAB-node-3 is migrated from IAB-donor 1 to IAB-donor 2</w:t>
      </w:r>
    </w:p>
    <w:p w14:paraId="1BEB7FE3" w14:textId="77777777" w:rsidR="008253C4" w:rsidRDefault="008253C4" w:rsidP="00300010">
      <w:pPr>
        <w:pStyle w:val="ListParagraph"/>
        <w:spacing w:after="60" w:line="252" w:lineRule="auto"/>
        <w:ind w:left="0"/>
        <w:rPr>
          <w:rFonts w:ascii="Arial" w:eastAsia="Times New Roman" w:hAnsi="Arial" w:cs="Arial"/>
          <w:sz w:val="20"/>
          <w:szCs w:val="20"/>
          <w:lang w:val="en-US" w:eastAsia="en-US"/>
        </w:rPr>
      </w:pPr>
    </w:p>
    <w:p w14:paraId="17095029" w14:textId="15238111" w:rsidR="00A228B0" w:rsidRDefault="00A228B0" w:rsidP="00A228B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Figure 1 shows example topologies where an IAB-node, referred to as IAB-node-3, is migrated from a source IAB-donor, referred to as IAB-donor</w:t>
      </w:r>
      <w:r w:rsidR="00F51AAC">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1, to a target IAB-donor, referred to IAB-donor 2.</w:t>
      </w:r>
    </w:p>
    <w:p w14:paraId="2D4F7E7C" w14:textId="1F5875A5" w:rsidR="003D1414" w:rsidRDefault="00433308"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It</w:t>
      </w:r>
      <w:r w:rsidR="00E36F62">
        <w:rPr>
          <w:rFonts w:ascii="Arial" w:eastAsia="Times New Roman" w:hAnsi="Arial" w:cs="Arial"/>
          <w:sz w:val="20"/>
          <w:szCs w:val="20"/>
          <w:lang w:val="en-US" w:eastAsia="en-US"/>
        </w:rPr>
        <w:t xml:space="preserve"> </w:t>
      </w:r>
      <w:r w:rsidR="00A228B0">
        <w:rPr>
          <w:rFonts w:ascii="Arial" w:eastAsia="Times New Roman" w:hAnsi="Arial" w:cs="Arial"/>
          <w:sz w:val="20"/>
          <w:szCs w:val="20"/>
          <w:lang w:val="en-US" w:eastAsia="en-US"/>
        </w:rPr>
        <w:t xml:space="preserve">this example and in the further discussion, it </w:t>
      </w:r>
      <w:r w:rsidR="00E36F62">
        <w:rPr>
          <w:rFonts w:ascii="Arial" w:eastAsia="Times New Roman" w:hAnsi="Arial" w:cs="Arial"/>
          <w:sz w:val="20"/>
          <w:szCs w:val="20"/>
          <w:lang w:val="en-US" w:eastAsia="en-US"/>
        </w:rPr>
        <w:t xml:space="preserve">is assumed that the IAB-MT </w:t>
      </w:r>
      <w:r w:rsidR="0022087B">
        <w:rPr>
          <w:rFonts w:ascii="Arial" w:eastAsia="Times New Roman" w:hAnsi="Arial" w:cs="Arial"/>
          <w:sz w:val="20"/>
          <w:szCs w:val="20"/>
          <w:lang w:val="en-US" w:eastAsia="en-US"/>
        </w:rPr>
        <w:t>migration</w:t>
      </w:r>
      <w:r>
        <w:rPr>
          <w:rFonts w:ascii="Arial" w:eastAsia="Times New Roman" w:hAnsi="Arial" w:cs="Arial"/>
          <w:sz w:val="20"/>
          <w:szCs w:val="20"/>
          <w:lang w:val="en-US" w:eastAsia="en-US"/>
        </w:rPr>
        <w:t>,</w:t>
      </w:r>
      <w:r w:rsidR="0022087B">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 xml:space="preserve">preceding the IAB-DU migration, </w:t>
      </w:r>
      <w:r w:rsidR="00E36F62">
        <w:rPr>
          <w:rFonts w:ascii="Arial" w:eastAsia="Times New Roman" w:hAnsi="Arial" w:cs="Arial"/>
          <w:sz w:val="20"/>
          <w:szCs w:val="20"/>
          <w:lang w:val="en-US" w:eastAsia="en-US"/>
        </w:rPr>
        <w:t>includes</w:t>
      </w:r>
      <w:r w:rsidR="00192C2E">
        <w:rPr>
          <w:rFonts w:ascii="Arial" w:eastAsia="Times New Roman" w:hAnsi="Arial" w:cs="Arial"/>
          <w:sz w:val="20"/>
          <w:szCs w:val="20"/>
          <w:lang w:val="en-US" w:eastAsia="en-US"/>
        </w:rPr>
        <w:t xml:space="preserve"> </w:t>
      </w:r>
      <w:r w:rsidR="00E36F62">
        <w:rPr>
          <w:rFonts w:ascii="Arial" w:eastAsia="Times New Roman" w:hAnsi="Arial" w:cs="Arial"/>
          <w:sz w:val="20"/>
          <w:szCs w:val="20"/>
          <w:lang w:val="en-US" w:eastAsia="en-US"/>
        </w:rPr>
        <w:t xml:space="preserve">Xn handover </w:t>
      </w:r>
      <w:r w:rsidR="00A228B0">
        <w:rPr>
          <w:rFonts w:ascii="Arial" w:eastAsia="Times New Roman" w:hAnsi="Arial" w:cs="Arial"/>
          <w:sz w:val="20"/>
          <w:szCs w:val="20"/>
          <w:lang w:val="en-US" w:eastAsia="en-US"/>
        </w:rPr>
        <w:t xml:space="preserve">as well as </w:t>
      </w:r>
      <w:r w:rsidR="008630D3">
        <w:rPr>
          <w:rFonts w:ascii="Arial" w:eastAsia="Times New Roman" w:hAnsi="Arial" w:cs="Arial"/>
          <w:sz w:val="20"/>
          <w:szCs w:val="20"/>
          <w:lang w:val="en-US" w:eastAsia="en-US"/>
        </w:rPr>
        <w:t xml:space="preserve">the </w:t>
      </w:r>
      <w:r w:rsidR="00E36F62">
        <w:rPr>
          <w:rFonts w:ascii="Arial" w:eastAsia="Times New Roman" w:hAnsi="Arial" w:cs="Arial"/>
          <w:sz w:val="20"/>
          <w:szCs w:val="20"/>
          <w:lang w:val="en-US" w:eastAsia="en-US"/>
        </w:rPr>
        <w:t>migration of</w:t>
      </w:r>
      <w:r w:rsidR="0022087B">
        <w:rPr>
          <w:rFonts w:ascii="Arial" w:eastAsia="Times New Roman" w:hAnsi="Arial" w:cs="Arial"/>
          <w:sz w:val="20"/>
          <w:szCs w:val="20"/>
          <w:lang w:val="en-US" w:eastAsia="en-US"/>
        </w:rPr>
        <w:t xml:space="preserve"> the</w:t>
      </w:r>
      <w:r w:rsidR="00E36F62">
        <w:rPr>
          <w:rFonts w:ascii="Arial" w:eastAsia="Times New Roman" w:hAnsi="Arial" w:cs="Arial"/>
          <w:sz w:val="20"/>
          <w:szCs w:val="20"/>
          <w:lang w:val="en-US" w:eastAsia="en-US"/>
        </w:rPr>
        <w:t xml:space="preserve"> backhaul traffic to the target path. </w:t>
      </w:r>
      <w:r w:rsidR="00192C2E">
        <w:rPr>
          <w:rFonts w:ascii="Arial" w:eastAsia="Times New Roman" w:hAnsi="Arial" w:cs="Arial"/>
          <w:sz w:val="20"/>
          <w:szCs w:val="20"/>
          <w:lang w:val="en-US" w:eastAsia="en-US"/>
        </w:rPr>
        <w:t>The migration of the backhaul traffic establishes an intermediate stage, which supports backhaul transport and allows delaying the IAB-DU migration</w:t>
      </w:r>
      <w:r w:rsidR="008630D3">
        <w:rPr>
          <w:rFonts w:ascii="Arial" w:eastAsia="Times New Roman" w:hAnsi="Arial" w:cs="Arial"/>
          <w:sz w:val="20"/>
          <w:szCs w:val="20"/>
          <w:lang w:val="en-US" w:eastAsia="en-US"/>
        </w:rPr>
        <w:t xml:space="preserve"> to any later point in time</w:t>
      </w:r>
      <w:r w:rsidR="00192C2E">
        <w:rPr>
          <w:rFonts w:ascii="Arial" w:eastAsia="Times New Roman" w:hAnsi="Arial" w:cs="Arial"/>
          <w:sz w:val="20"/>
          <w:szCs w:val="20"/>
          <w:lang w:val="en-US" w:eastAsia="en-US"/>
        </w:rPr>
        <w:t>. It is also possible</w:t>
      </w:r>
      <w:r w:rsidR="008630D3">
        <w:rPr>
          <w:rFonts w:ascii="Arial" w:eastAsia="Times New Roman" w:hAnsi="Arial" w:cs="Arial"/>
          <w:sz w:val="20"/>
          <w:szCs w:val="20"/>
          <w:lang w:val="en-US" w:eastAsia="en-US"/>
        </w:rPr>
        <w:t>, b</w:t>
      </w:r>
      <w:r w:rsidR="00192C2E">
        <w:rPr>
          <w:rFonts w:ascii="Arial" w:eastAsia="Times New Roman" w:hAnsi="Arial" w:cs="Arial"/>
          <w:sz w:val="20"/>
          <w:szCs w:val="20"/>
          <w:lang w:val="en-US" w:eastAsia="en-US"/>
        </w:rPr>
        <w:t>ut not discussed here</w:t>
      </w:r>
      <w:r w:rsidR="008630D3">
        <w:rPr>
          <w:rFonts w:ascii="Arial" w:eastAsia="Times New Roman" w:hAnsi="Arial" w:cs="Arial"/>
          <w:sz w:val="20"/>
          <w:szCs w:val="20"/>
          <w:lang w:val="en-US" w:eastAsia="en-US"/>
        </w:rPr>
        <w:t>,</w:t>
      </w:r>
      <w:r w:rsidR="00192C2E">
        <w:rPr>
          <w:rFonts w:ascii="Arial" w:eastAsia="Times New Roman" w:hAnsi="Arial" w:cs="Arial"/>
          <w:sz w:val="20"/>
          <w:szCs w:val="20"/>
          <w:lang w:val="en-US" w:eastAsia="en-US"/>
        </w:rPr>
        <w:t xml:space="preserve"> to perform the migration of the backhaul traffic </w:t>
      </w:r>
      <w:r w:rsidR="00192C2E" w:rsidRPr="00537BA4">
        <w:rPr>
          <w:rFonts w:ascii="Arial" w:eastAsia="Times New Roman" w:hAnsi="Arial" w:cs="Arial"/>
          <w:i/>
          <w:iCs/>
          <w:sz w:val="20"/>
          <w:szCs w:val="20"/>
          <w:lang w:val="en-US" w:eastAsia="en-US"/>
        </w:rPr>
        <w:t>after</w:t>
      </w:r>
      <w:r w:rsidR="00192C2E">
        <w:rPr>
          <w:rFonts w:ascii="Arial" w:eastAsia="Times New Roman" w:hAnsi="Arial" w:cs="Arial"/>
          <w:sz w:val="20"/>
          <w:szCs w:val="20"/>
          <w:lang w:val="en-US" w:eastAsia="en-US"/>
        </w:rPr>
        <w:t xml:space="preserve"> </w:t>
      </w:r>
      <w:r w:rsidR="00B7655E">
        <w:rPr>
          <w:rFonts w:ascii="Arial" w:eastAsia="Times New Roman" w:hAnsi="Arial" w:cs="Arial"/>
          <w:sz w:val="20"/>
          <w:szCs w:val="20"/>
          <w:lang w:val="en-US" w:eastAsia="en-US"/>
        </w:rPr>
        <w:t xml:space="preserve">instead of </w:t>
      </w:r>
      <w:r w:rsidR="00B7655E" w:rsidRPr="00537BA4">
        <w:rPr>
          <w:rFonts w:ascii="Arial" w:eastAsia="Times New Roman" w:hAnsi="Arial" w:cs="Arial"/>
          <w:i/>
          <w:iCs/>
          <w:sz w:val="20"/>
          <w:szCs w:val="20"/>
          <w:lang w:val="en-US" w:eastAsia="en-US"/>
        </w:rPr>
        <w:t>before</w:t>
      </w:r>
      <w:r w:rsidR="00B7655E">
        <w:rPr>
          <w:rFonts w:ascii="Arial" w:eastAsia="Times New Roman" w:hAnsi="Arial" w:cs="Arial"/>
          <w:sz w:val="20"/>
          <w:szCs w:val="20"/>
          <w:lang w:val="en-US" w:eastAsia="en-US"/>
        </w:rPr>
        <w:t xml:space="preserve"> the </w:t>
      </w:r>
      <w:r w:rsidR="00192C2E">
        <w:rPr>
          <w:rFonts w:ascii="Arial" w:eastAsia="Times New Roman" w:hAnsi="Arial" w:cs="Arial"/>
          <w:sz w:val="20"/>
          <w:szCs w:val="20"/>
          <w:lang w:val="en-US" w:eastAsia="en-US"/>
        </w:rPr>
        <w:t xml:space="preserve">IAB-DU migration. </w:t>
      </w:r>
      <w:r w:rsidR="0022087B">
        <w:rPr>
          <w:rFonts w:ascii="Arial" w:eastAsia="Times New Roman" w:hAnsi="Arial" w:cs="Arial"/>
          <w:sz w:val="20"/>
          <w:szCs w:val="20"/>
          <w:lang w:val="en-US" w:eastAsia="en-US"/>
        </w:rPr>
        <w:t>The details of the IAB-MT migration are not discussed here.</w:t>
      </w:r>
    </w:p>
    <w:p w14:paraId="2238DA7E" w14:textId="77777777" w:rsidR="00705078" w:rsidRDefault="00705078" w:rsidP="00300010">
      <w:pPr>
        <w:pStyle w:val="ListParagraph"/>
        <w:spacing w:after="60" w:line="252" w:lineRule="auto"/>
        <w:ind w:left="0"/>
        <w:rPr>
          <w:rFonts w:ascii="Arial" w:eastAsia="Times New Roman" w:hAnsi="Arial" w:cs="Arial"/>
          <w:sz w:val="20"/>
          <w:szCs w:val="20"/>
          <w:lang w:val="en-US" w:eastAsia="en-US"/>
        </w:rPr>
      </w:pPr>
      <w:r w:rsidRPr="00705078">
        <w:rPr>
          <w:rFonts w:ascii="Arial" w:eastAsia="Times New Roman" w:hAnsi="Arial" w:cs="Arial"/>
          <w:sz w:val="20"/>
          <w:szCs w:val="20"/>
          <w:lang w:val="en-US" w:eastAsia="en-US"/>
        </w:rPr>
        <w:t xml:space="preserve">Since IAB-DU migration </w:t>
      </w:r>
      <w:r>
        <w:rPr>
          <w:rFonts w:ascii="Arial" w:eastAsia="Times New Roman" w:hAnsi="Arial" w:cs="Arial"/>
          <w:sz w:val="20"/>
          <w:szCs w:val="20"/>
          <w:lang w:val="en-US" w:eastAsia="en-US"/>
        </w:rPr>
        <w:t>need</w:t>
      </w:r>
      <w:r w:rsidRPr="00705078">
        <w:rPr>
          <w:rFonts w:ascii="Arial" w:eastAsia="Times New Roman" w:hAnsi="Arial" w:cs="Arial"/>
          <w:sz w:val="20"/>
          <w:szCs w:val="20"/>
          <w:lang w:val="en-US" w:eastAsia="en-US"/>
        </w:rPr>
        <w:t xml:space="preserve"> not immediately follow IAB-MT migration, it </w:t>
      </w:r>
      <w:r>
        <w:rPr>
          <w:rFonts w:ascii="Arial" w:eastAsia="Times New Roman" w:hAnsi="Arial" w:cs="Arial"/>
          <w:sz w:val="20"/>
          <w:szCs w:val="20"/>
          <w:lang w:val="en-US" w:eastAsia="en-US"/>
        </w:rPr>
        <w:t>may have t</w:t>
      </w:r>
      <w:r w:rsidRPr="00705078">
        <w:rPr>
          <w:rFonts w:ascii="Arial" w:eastAsia="Times New Roman" w:hAnsi="Arial" w:cs="Arial"/>
          <w:sz w:val="20"/>
          <w:szCs w:val="20"/>
          <w:lang w:val="en-US" w:eastAsia="en-US"/>
        </w:rPr>
        <w:t>o be explicitly initiated.</w:t>
      </w:r>
      <w:r>
        <w:rPr>
          <w:rFonts w:ascii="Arial" w:eastAsia="Times New Roman" w:hAnsi="Arial" w:cs="Arial"/>
          <w:sz w:val="20"/>
          <w:szCs w:val="20"/>
          <w:lang w:val="en-US" w:eastAsia="en-US"/>
        </w:rPr>
        <w:t xml:space="preserve"> IAB-DU migration further consists of two steps, i.e., </w:t>
      </w:r>
    </w:p>
    <w:p w14:paraId="246DA679" w14:textId="4158262D" w:rsidR="00705078" w:rsidRDefault="00705078" w:rsidP="00705078">
      <w:pPr>
        <w:pStyle w:val="ListParagraph"/>
        <w:spacing w:after="60" w:line="252" w:lineRule="auto"/>
        <w:ind w:left="288"/>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(1) </w:t>
      </w:r>
      <w:r w:rsidR="005A0734">
        <w:rPr>
          <w:rFonts w:ascii="Arial" w:eastAsia="Times New Roman" w:hAnsi="Arial" w:cs="Arial"/>
          <w:sz w:val="20"/>
          <w:szCs w:val="20"/>
          <w:lang w:val="en-US" w:eastAsia="en-US"/>
        </w:rPr>
        <w:t xml:space="preserve">the </w:t>
      </w:r>
      <w:r>
        <w:rPr>
          <w:rFonts w:ascii="Arial" w:eastAsia="Times New Roman" w:hAnsi="Arial" w:cs="Arial"/>
          <w:sz w:val="20"/>
          <w:szCs w:val="20"/>
          <w:lang w:val="en-US" w:eastAsia="en-US"/>
        </w:rPr>
        <w:t xml:space="preserve">establishment of </w:t>
      </w:r>
      <w:r w:rsidR="005A0734">
        <w:rPr>
          <w:rFonts w:ascii="Arial" w:eastAsia="Times New Roman" w:hAnsi="Arial" w:cs="Arial"/>
          <w:sz w:val="20"/>
          <w:szCs w:val="20"/>
          <w:lang w:val="en-US" w:eastAsia="en-US"/>
        </w:rPr>
        <w:t>F1-C</w:t>
      </w:r>
      <w:r>
        <w:rPr>
          <w:rFonts w:ascii="Arial" w:eastAsia="Times New Roman" w:hAnsi="Arial" w:cs="Arial"/>
          <w:sz w:val="20"/>
          <w:szCs w:val="20"/>
          <w:lang w:val="en-US" w:eastAsia="en-US"/>
        </w:rPr>
        <w:t xml:space="preserve"> with the target CU, and, </w:t>
      </w:r>
    </w:p>
    <w:p w14:paraId="754B74AD" w14:textId="0E3278FC" w:rsidR="00705078" w:rsidRDefault="00705078" w:rsidP="00705078">
      <w:pPr>
        <w:pStyle w:val="ListParagraph"/>
        <w:spacing w:after="60" w:line="252" w:lineRule="auto"/>
        <w:ind w:left="288"/>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(2) </w:t>
      </w:r>
      <w:r w:rsidR="005A0734">
        <w:rPr>
          <w:rFonts w:ascii="Arial" w:eastAsia="Times New Roman" w:hAnsi="Arial" w:cs="Arial"/>
          <w:sz w:val="20"/>
          <w:szCs w:val="20"/>
          <w:lang w:val="en-US" w:eastAsia="en-US"/>
        </w:rPr>
        <w:t xml:space="preserve">the </w:t>
      </w:r>
      <w:r>
        <w:rPr>
          <w:rFonts w:ascii="Arial" w:eastAsia="Times New Roman" w:hAnsi="Arial" w:cs="Arial"/>
          <w:sz w:val="20"/>
          <w:szCs w:val="20"/>
          <w:lang w:val="en-US" w:eastAsia="en-US"/>
        </w:rPr>
        <w:t xml:space="preserve">switching of the IAB-DU’s cells to the target CU. </w:t>
      </w:r>
    </w:p>
    <w:p w14:paraId="3BDBDCD0" w14:textId="4CC44A16" w:rsidR="00705078" w:rsidRDefault="00705078"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Each of these steps can be initiated by one of: </w:t>
      </w:r>
    </w:p>
    <w:p w14:paraId="380C8D4A" w14:textId="366D49C1" w:rsidR="00705078" w:rsidRDefault="00705078" w:rsidP="00705078">
      <w:pPr>
        <w:pStyle w:val="ListParagraph"/>
        <w:numPr>
          <w:ilvl w:val="0"/>
          <w:numId w:val="35"/>
        </w:numPr>
        <w:spacing w:after="60" w:line="252" w:lineRule="auto"/>
        <w:rPr>
          <w:rFonts w:ascii="Arial" w:eastAsia="Times New Roman" w:hAnsi="Arial" w:cs="Arial"/>
          <w:sz w:val="20"/>
          <w:szCs w:val="20"/>
          <w:lang w:val="en-US" w:eastAsia="en-US"/>
        </w:rPr>
      </w:pPr>
      <w:r w:rsidRPr="00F936E3">
        <w:rPr>
          <w:rFonts w:ascii="Arial" w:eastAsia="Times New Roman" w:hAnsi="Arial" w:cs="Arial"/>
          <w:b/>
          <w:bCs/>
          <w:sz w:val="20"/>
          <w:szCs w:val="20"/>
          <w:lang w:val="en-US" w:eastAsia="en-US"/>
        </w:rPr>
        <w:t>Option a:</w:t>
      </w:r>
      <w:r>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the s</w:t>
      </w:r>
      <w:r>
        <w:rPr>
          <w:rFonts w:ascii="Arial" w:eastAsia="Times New Roman" w:hAnsi="Arial" w:cs="Arial"/>
          <w:sz w:val="20"/>
          <w:szCs w:val="20"/>
          <w:lang w:val="en-US" w:eastAsia="en-US"/>
        </w:rPr>
        <w:t>ource IAB-donor-CU</w:t>
      </w:r>
    </w:p>
    <w:p w14:paraId="5495187D" w14:textId="478ED65C" w:rsidR="00705078" w:rsidRDefault="00705078" w:rsidP="00705078">
      <w:pPr>
        <w:pStyle w:val="ListParagraph"/>
        <w:numPr>
          <w:ilvl w:val="0"/>
          <w:numId w:val="35"/>
        </w:numPr>
        <w:spacing w:after="60" w:line="252" w:lineRule="auto"/>
        <w:rPr>
          <w:rFonts w:ascii="Arial" w:eastAsia="Times New Roman" w:hAnsi="Arial" w:cs="Arial"/>
          <w:sz w:val="20"/>
          <w:szCs w:val="20"/>
          <w:lang w:val="en-US" w:eastAsia="en-US"/>
        </w:rPr>
      </w:pPr>
      <w:r w:rsidRPr="00F936E3">
        <w:rPr>
          <w:rFonts w:ascii="Arial" w:eastAsia="Times New Roman" w:hAnsi="Arial" w:cs="Arial"/>
          <w:b/>
          <w:bCs/>
          <w:sz w:val="20"/>
          <w:szCs w:val="20"/>
          <w:lang w:val="en-US" w:eastAsia="en-US"/>
        </w:rPr>
        <w:t>Option b:</w:t>
      </w:r>
      <w:r>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the t</w:t>
      </w:r>
      <w:r>
        <w:rPr>
          <w:rFonts w:ascii="Arial" w:eastAsia="Times New Roman" w:hAnsi="Arial" w:cs="Arial"/>
          <w:sz w:val="20"/>
          <w:szCs w:val="20"/>
          <w:lang w:val="en-US" w:eastAsia="en-US"/>
        </w:rPr>
        <w:t>arget IAB-donor-CU</w:t>
      </w:r>
    </w:p>
    <w:p w14:paraId="76D94D9F" w14:textId="2C9F89D4" w:rsidR="00705078" w:rsidRDefault="00705078" w:rsidP="00705078">
      <w:pPr>
        <w:pStyle w:val="ListParagraph"/>
        <w:numPr>
          <w:ilvl w:val="0"/>
          <w:numId w:val="35"/>
        </w:numPr>
        <w:spacing w:after="60" w:line="252" w:lineRule="auto"/>
        <w:rPr>
          <w:rFonts w:ascii="Arial" w:eastAsia="Times New Roman" w:hAnsi="Arial" w:cs="Arial"/>
          <w:sz w:val="20"/>
          <w:szCs w:val="20"/>
          <w:lang w:val="en-US" w:eastAsia="en-US"/>
        </w:rPr>
      </w:pPr>
      <w:r w:rsidRPr="00F936E3">
        <w:rPr>
          <w:rFonts w:ascii="Arial" w:eastAsia="Times New Roman" w:hAnsi="Arial" w:cs="Arial"/>
          <w:b/>
          <w:bCs/>
          <w:sz w:val="20"/>
          <w:szCs w:val="20"/>
          <w:lang w:val="en-US" w:eastAsia="en-US"/>
        </w:rPr>
        <w:t>Option c:</w:t>
      </w:r>
      <w:r>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the m</w:t>
      </w:r>
      <w:r>
        <w:rPr>
          <w:rFonts w:ascii="Arial" w:eastAsia="Times New Roman" w:hAnsi="Arial" w:cs="Arial"/>
          <w:sz w:val="20"/>
          <w:szCs w:val="20"/>
          <w:lang w:val="en-US" w:eastAsia="en-US"/>
        </w:rPr>
        <w:t xml:space="preserve">igrating </w:t>
      </w:r>
      <w:r w:rsidRPr="00DC632B">
        <w:rPr>
          <w:rFonts w:ascii="Arial" w:eastAsia="Times New Roman" w:hAnsi="Arial" w:cs="Arial"/>
          <w:sz w:val="20"/>
          <w:szCs w:val="20"/>
          <w:lang w:val="en-US" w:eastAsia="en-US"/>
        </w:rPr>
        <w:t>IAB-</w:t>
      </w:r>
      <w:r>
        <w:rPr>
          <w:rFonts w:ascii="Arial" w:eastAsia="Times New Roman" w:hAnsi="Arial" w:cs="Arial"/>
          <w:sz w:val="20"/>
          <w:szCs w:val="20"/>
          <w:lang w:val="en-US" w:eastAsia="en-US"/>
        </w:rPr>
        <w:t>node itself</w:t>
      </w:r>
    </w:p>
    <w:p w14:paraId="236E9E3B" w14:textId="33F62BCB" w:rsidR="00192C2E" w:rsidRDefault="00BD2052"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In the following, all three options are considered. </w:t>
      </w:r>
      <w:r w:rsidR="00CE27C0">
        <w:rPr>
          <w:rFonts w:ascii="Arial" w:eastAsia="Times New Roman" w:hAnsi="Arial" w:cs="Arial"/>
          <w:sz w:val="20"/>
          <w:szCs w:val="20"/>
          <w:lang w:val="en-US" w:eastAsia="en-US"/>
        </w:rPr>
        <w:t>These</w:t>
      </w:r>
      <w:r>
        <w:rPr>
          <w:rFonts w:ascii="Arial" w:eastAsia="Times New Roman" w:hAnsi="Arial" w:cs="Arial"/>
          <w:sz w:val="20"/>
          <w:szCs w:val="20"/>
          <w:lang w:val="en-US" w:eastAsia="en-US"/>
        </w:rPr>
        <w:t xml:space="preserve"> options may be </w:t>
      </w:r>
      <w:r w:rsidR="00CE27C0">
        <w:rPr>
          <w:rFonts w:ascii="Arial" w:eastAsia="Times New Roman" w:hAnsi="Arial" w:cs="Arial"/>
          <w:sz w:val="20"/>
          <w:szCs w:val="20"/>
          <w:lang w:val="en-US" w:eastAsia="en-US"/>
        </w:rPr>
        <w:t>narrowed down</w:t>
      </w:r>
      <w:r>
        <w:rPr>
          <w:rFonts w:ascii="Arial" w:eastAsia="Times New Roman" w:hAnsi="Arial" w:cs="Arial"/>
          <w:sz w:val="20"/>
          <w:szCs w:val="20"/>
          <w:lang w:val="en-US" w:eastAsia="en-US"/>
        </w:rPr>
        <w:t xml:space="preserve"> in further discussion. The </w:t>
      </w:r>
      <w:r w:rsidR="00CE27C0">
        <w:rPr>
          <w:rFonts w:ascii="Arial" w:eastAsia="Times New Roman" w:hAnsi="Arial" w:cs="Arial"/>
          <w:sz w:val="20"/>
          <w:szCs w:val="20"/>
          <w:lang w:val="en-US" w:eastAsia="en-US"/>
        </w:rPr>
        <w:t>decision criteria applied by t</w:t>
      </w:r>
      <w:r>
        <w:rPr>
          <w:rFonts w:ascii="Arial" w:eastAsia="Times New Roman" w:hAnsi="Arial" w:cs="Arial"/>
          <w:sz w:val="20"/>
          <w:szCs w:val="20"/>
          <w:lang w:val="en-US" w:eastAsia="en-US"/>
        </w:rPr>
        <w:t xml:space="preserve">he </w:t>
      </w:r>
      <w:r w:rsidR="008630D3">
        <w:rPr>
          <w:rFonts w:ascii="Arial" w:eastAsia="Times New Roman" w:hAnsi="Arial" w:cs="Arial"/>
          <w:sz w:val="20"/>
          <w:szCs w:val="20"/>
          <w:lang w:val="en-US" w:eastAsia="en-US"/>
        </w:rPr>
        <w:t>initiating</w:t>
      </w:r>
      <w:r>
        <w:rPr>
          <w:rFonts w:ascii="Arial" w:eastAsia="Times New Roman" w:hAnsi="Arial" w:cs="Arial"/>
          <w:sz w:val="20"/>
          <w:szCs w:val="20"/>
          <w:lang w:val="en-US" w:eastAsia="en-US"/>
        </w:rPr>
        <w:t xml:space="preserve"> node </w:t>
      </w:r>
      <w:r w:rsidR="00CE27C0">
        <w:rPr>
          <w:rFonts w:ascii="Arial" w:eastAsia="Times New Roman" w:hAnsi="Arial" w:cs="Arial"/>
          <w:sz w:val="20"/>
          <w:szCs w:val="20"/>
          <w:lang w:val="en-US" w:eastAsia="en-US"/>
        </w:rPr>
        <w:t>are</w:t>
      </w:r>
      <w:r>
        <w:rPr>
          <w:rFonts w:ascii="Arial" w:eastAsia="Times New Roman" w:hAnsi="Arial" w:cs="Arial"/>
          <w:sz w:val="20"/>
          <w:szCs w:val="20"/>
          <w:lang w:val="en-US" w:eastAsia="en-US"/>
        </w:rPr>
        <w:t xml:space="preserve"> not discussed here.</w:t>
      </w:r>
      <w:r w:rsidR="00CE27C0">
        <w:rPr>
          <w:rFonts w:ascii="Arial" w:eastAsia="Times New Roman" w:hAnsi="Arial" w:cs="Arial"/>
          <w:sz w:val="20"/>
          <w:szCs w:val="20"/>
          <w:lang w:val="en-US" w:eastAsia="en-US"/>
        </w:rPr>
        <w:t xml:space="preserve"> It is possible, </w:t>
      </w:r>
      <w:r w:rsidR="005A0734">
        <w:rPr>
          <w:rFonts w:ascii="Arial" w:eastAsia="Times New Roman" w:hAnsi="Arial" w:cs="Arial"/>
          <w:sz w:val="20"/>
          <w:szCs w:val="20"/>
          <w:lang w:val="en-US" w:eastAsia="en-US"/>
        </w:rPr>
        <w:t>as discussed in section 2.1</w:t>
      </w:r>
      <w:r w:rsidR="00CE27C0">
        <w:rPr>
          <w:rFonts w:ascii="Arial" w:eastAsia="Times New Roman" w:hAnsi="Arial" w:cs="Arial"/>
          <w:sz w:val="20"/>
          <w:szCs w:val="20"/>
          <w:lang w:val="en-US" w:eastAsia="en-US"/>
        </w:rPr>
        <w:t xml:space="preserve">, that </w:t>
      </w:r>
      <w:r w:rsidR="00705078">
        <w:rPr>
          <w:rFonts w:ascii="Arial" w:eastAsia="Times New Roman" w:hAnsi="Arial" w:cs="Arial"/>
          <w:sz w:val="20"/>
          <w:szCs w:val="20"/>
          <w:lang w:val="en-US" w:eastAsia="en-US"/>
        </w:rPr>
        <w:t xml:space="preserve">they are invoked by </w:t>
      </w:r>
      <w:r w:rsidR="00CE27C0">
        <w:rPr>
          <w:rFonts w:ascii="Arial" w:eastAsia="Times New Roman" w:hAnsi="Arial" w:cs="Arial"/>
          <w:sz w:val="20"/>
          <w:szCs w:val="20"/>
          <w:lang w:val="en-US" w:eastAsia="en-US"/>
        </w:rPr>
        <w:t xml:space="preserve">the </w:t>
      </w:r>
      <w:r w:rsidR="008630D3">
        <w:rPr>
          <w:rFonts w:ascii="Arial" w:eastAsia="Times New Roman" w:hAnsi="Arial" w:cs="Arial"/>
          <w:sz w:val="20"/>
          <w:szCs w:val="20"/>
          <w:lang w:val="en-US" w:eastAsia="en-US"/>
        </w:rPr>
        <w:t>initiating</w:t>
      </w:r>
      <w:r w:rsidR="00CE27C0">
        <w:rPr>
          <w:rFonts w:ascii="Arial" w:eastAsia="Times New Roman" w:hAnsi="Arial" w:cs="Arial"/>
          <w:sz w:val="20"/>
          <w:szCs w:val="20"/>
          <w:lang w:val="en-US" w:eastAsia="en-US"/>
        </w:rPr>
        <w:t xml:space="preserve"> node’s OAM.  </w:t>
      </w:r>
      <w:r>
        <w:rPr>
          <w:rFonts w:ascii="Arial" w:eastAsia="Times New Roman" w:hAnsi="Arial" w:cs="Arial"/>
          <w:sz w:val="20"/>
          <w:szCs w:val="20"/>
          <w:lang w:val="en-US" w:eastAsia="en-US"/>
        </w:rPr>
        <w:t xml:space="preserve">  </w:t>
      </w:r>
    </w:p>
    <w:p w14:paraId="31B7CA5E" w14:textId="77777777" w:rsidR="00BD2052" w:rsidRDefault="00BD2052" w:rsidP="00300010">
      <w:pPr>
        <w:pStyle w:val="ListParagraph"/>
        <w:spacing w:after="60" w:line="252" w:lineRule="auto"/>
        <w:ind w:left="0"/>
        <w:rPr>
          <w:rFonts w:ascii="Arial" w:eastAsia="Times New Roman" w:hAnsi="Arial" w:cs="Arial"/>
          <w:sz w:val="20"/>
          <w:szCs w:val="20"/>
          <w:lang w:val="en-US" w:eastAsia="en-US"/>
        </w:rPr>
      </w:pPr>
    </w:p>
    <w:p w14:paraId="093E4560" w14:textId="190C814F" w:rsidR="00121B09" w:rsidRDefault="00705078"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Further, f</w:t>
      </w:r>
      <w:r w:rsidR="00CE27C0">
        <w:rPr>
          <w:rFonts w:ascii="Arial" w:eastAsia="Times New Roman" w:hAnsi="Arial" w:cs="Arial"/>
          <w:sz w:val="20"/>
          <w:szCs w:val="20"/>
          <w:lang w:val="en-US" w:eastAsia="en-US"/>
        </w:rPr>
        <w:t xml:space="preserve">or the </w:t>
      </w:r>
      <w:r>
        <w:rPr>
          <w:rFonts w:ascii="Arial" w:eastAsia="Times New Roman" w:hAnsi="Arial" w:cs="Arial"/>
          <w:sz w:val="20"/>
          <w:szCs w:val="20"/>
          <w:lang w:val="en-US" w:eastAsia="en-US"/>
        </w:rPr>
        <w:t xml:space="preserve">IAB-DU’s </w:t>
      </w:r>
      <w:r w:rsidR="00CE27C0">
        <w:rPr>
          <w:rFonts w:ascii="Arial" w:eastAsia="Times New Roman" w:hAnsi="Arial" w:cs="Arial"/>
          <w:sz w:val="20"/>
          <w:szCs w:val="20"/>
          <w:lang w:val="en-US" w:eastAsia="en-US"/>
        </w:rPr>
        <w:t>served cells, the following options are considered:</w:t>
      </w:r>
    </w:p>
    <w:p w14:paraId="0100406B" w14:textId="4AC85D99" w:rsidR="00121B09" w:rsidRDefault="00121B09" w:rsidP="00121B09">
      <w:pPr>
        <w:pStyle w:val="ListParagraph"/>
        <w:numPr>
          <w:ilvl w:val="0"/>
          <w:numId w:val="35"/>
        </w:numPr>
        <w:spacing w:after="60" w:line="252" w:lineRule="auto"/>
        <w:rPr>
          <w:rFonts w:ascii="Arial" w:eastAsia="Times New Roman" w:hAnsi="Arial" w:cs="Arial"/>
          <w:sz w:val="20"/>
          <w:szCs w:val="20"/>
          <w:lang w:val="en-US" w:eastAsia="en-US"/>
        </w:rPr>
      </w:pPr>
      <w:r w:rsidRPr="00F936E3">
        <w:rPr>
          <w:rFonts w:ascii="Arial" w:eastAsia="Times New Roman" w:hAnsi="Arial" w:cs="Arial"/>
          <w:b/>
          <w:bCs/>
          <w:sz w:val="20"/>
          <w:szCs w:val="20"/>
          <w:lang w:val="en-US" w:eastAsia="en-US"/>
        </w:rPr>
        <w:t>Option 1:</w:t>
      </w:r>
      <w:r>
        <w:rPr>
          <w:rFonts w:ascii="Arial" w:eastAsia="Times New Roman" w:hAnsi="Arial" w:cs="Arial"/>
          <w:sz w:val="20"/>
          <w:szCs w:val="20"/>
          <w:lang w:val="en-US" w:eastAsia="en-US"/>
        </w:rPr>
        <w:t xml:space="preserve"> PCI remains </w:t>
      </w:r>
      <w:r w:rsidR="00FF3173">
        <w:rPr>
          <w:rFonts w:ascii="Arial" w:eastAsia="Times New Roman" w:hAnsi="Arial" w:cs="Arial"/>
          <w:sz w:val="20"/>
          <w:szCs w:val="20"/>
          <w:lang w:val="en-US" w:eastAsia="en-US"/>
        </w:rPr>
        <w:t>unchanged</w:t>
      </w:r>
    </w:p>
    <w:p w14:paraId="2851EA9D" w14:textId="03BB966B" w:rsidR="00121B09" w:rsidRDefault="00121B09" w:rsidP="00121B09">
      <w:pPr>
        <w:pStyle w:val="ListParagraph"/>
        <w:numPr>
          <w:ilvl w:val="0"/>
          <w:numId w:val="35"/>
        </w:numPr>
        <w:spacing w:after="60" w:line="252" w:lineRule="auto"/>
        <w:rPr>
          <w:rFonts w:ascii="Arial" w:eastAsia="Times New Roman" w:hAnsi="Arial" w:cs="Arial"/>
          <w:sz w:val="20"/>
          <w:szCs w:val="20"/>
          <w:lang w:val="en-US" w:eastAsia="en-US"/>
        </w:rPr>
      </w:pPr>
      <w:r w:rsidRPr="00F936E3">
        <w:rPr>
          <w:rFonts w:ascii="Arial" w:eastAsia="Times New Roman" w:hAnsi="Arial" w:cs="Arial"/>
          <w:b/>
          <w:bCs/>
          <w:sz w:val="20"/>
          <w:szCs w:val="20"/>
          <w:lang w:val="en-US" w:eastAsia="en-US"/>
        </w:rPr>
        <w:t>Option 2:</w:t>
      </w:r>
      <w:r>
        <w:rPr>
          <w:rFonts w:ascii="Arial" w:eastAsia="Times New Roman" w:hAnsi="Arial" w:cs="Arial"/>
          <w:sz w:val="20"/>
          <w:szCs w:val="20"/>
          <w:lang w:val="en-US" w:eastAsia="en-US"/>
        </w:rPr>
        <w:t xml:space="preserve"> PCI is changed</w:t>
      </w:r>
    </w:p>
    <w:p w14:paraId="78DA90D7" w14:textId="744A3592" w:rsidR="00B23E55" w:rsidRDefault="00D26178" w:rsidP="00B23E55">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For stationary deployments, there is no obvious reason for PCI change. Nevertheless, PCI change is considered in this discussion. </w:t>
      </w:r>
      <w:r w:rsidR="004F516E">
        <w:rPr>
          <w:rFonts w:ascii="Arial" w:eastAsia="Times New Roman" w:hAnsi="Arial" w:cs="Arial"/>
          <w:sz w:val="20"/>
          <w:szCs w:val="20"/>
          <w:lang w:val="en-US" w:eastAsia="en-US"/>
        </w:rPr>
        <w:t>Each</w:t>
      </w:r>
      <w:r w:rsidR="00B23E55">
        <w:rPr>
          <w:rFonts w:ascii="Arial" w:eastAsia="Times New Roman" w:hAnsi="Arial" w:cs="Arial"/>
          <w:sz w:val="20"/>
          <w:szCs w:val="20"/>
          <w:lang w:val="en-US" w:eastAsia="en-US"/>
        </w:rPr>
        <w:t xml:space="preserve"> served cells </w:t>
      </w:r>
      <w:r w:rsidR="004F516E">
        <w:rPr>
          <w:rFonts w:ascii="Arial" w:eastAsia="Times New Roman" w:hAnsi="Arial" w:cs="Arial"/>
          <w:sz w:val="20"/>
          <w:szCs w:val="20"/>
          <w:lang w:val="en-US" w:eastAsia="en-US"/>
        </w:rPr>
        <w:t>is</w:t>
      </w:r>
      <w:r w:rsidR="00CE27C0">
        <w:rPr>
          <w:rFonts w:ascii="Arial" w:eastAsia="Times New Roman" w:hAnsi="Arial" w:cs="Arial"/>
          <w:sz w:val="20"/>
          <w:szCs w:val="20"/>
          <w:lang w:val="en-US" w:eastAsia="en-US"/>
        </w:rPr>
        <w:t xml:space="preserve"> further assumed to </w:t>
      </w:r>
      <w:r w:rsidR="00B23E55">
        <w:rPr>
          <w:rFonts w:ascii="Arial" w:eastAsia="Times New Roman" w:hAnsi="Arial" w:cs="Arial"/>
          <w:sz w:val="20"/>
          <w:szCs w:val="20"/>
          <w:lang w:val="en-US" w:eastAsia="en-US"/>
        </w:rPr>
        <w:t xml:space="preserve">carry the NCI of </w:t>
      </w:r>
      <w:r w:rsidR="004F516E">
        <w:rPr>
          <w:rFonts w:ascii="Arial" w:eastAsia="Times New Roman" w:hAnsi="Arial" w:cs="Arial"/>
          <w:sz w:val="20"/>
          <w:szCs w:val="20"/>
          <w:lang w:val="en-US" w:eastAsia="en-US"/>
        </w:rPr>
        <w:t>its</w:t>
      </w:r>
      <w:r w:rsidR="00B23E55">
        <w:rPr>
          <w:rFonts w:ascii="Arial" w:eastAsia="Times New Roman" w:hAnsi="Arial" w:cs="Arial"/>
          <w:sz w:val="20"/>
          <w:szCs w:val="20"/>
          <w:lang w:val="en-US" w:eastAsia="en-US"/>
        </w:rPr>
        <w:t xml:space="preserve"> associated donor</w:t>
      </w:r>
      <w:r w:rsidR="004870B9">
        <w:rPr>
          <w:rFonts w:ascii="Arial" w:eastAsia="Times New Roman" w:hAnsi="Arial" w:cs="Arial"/>
          <w:sz w:val="20"/>
          <w:szCs w:val="20"/>
          <w:lang w:val="en-US" w:eastAsia="en-US"/>
        </w:rPr>
        <w:t>, which change</w:t>
      </w:r>
      <w:r w:rsidR="004F516E">
        <w:rPr>
          <w:rFonts w:ascii="Arial" w:eastAsia="Times New Roman" w:hAnsi="Arial" w:cs="Arial"/>
          <w:sz w:val="20"/>
          <w:szCs w:val="20"/>
          <w:lang w:val="en-US" w:eastAsia="en-US"/>
        </w:rPr>
        <w:t>s</w:t>
      </w:r>
      <w:r w:rsidR="004870B9">
        <w:rPr>
          <w:rFonts w:ascii="Arial" w:eastAsia="Times New Roman" w:hAnsi="Arial" w:cs="Arial"/>
          <w:sz w:val="20"/>
          <w:szCs w:val="20"/>
          <w:lang w:val="en-US" w:eastAsia="en-US"/>
        </w:rPr>
        <w:t xml:space="preserve"> during IAB-DU migration</w:t>
      </w:r>
      <w:r w:rsidR="00B23E55">
        <w:rPr>
          <w:rFonts w:ascii="Arial" w:eastAsia="Times New Roman" w:hAnsi="Arial" w:cs="Arial"/>
          <w:sz w:val="20"/>
          <w:szCs w:val="20"/>
          <w:lang w:val="en-US" w:eastAsia="en-US"/>
        </w:rPr>
        <w:t>.</w:t>
      </w:r>
    </w:p>
    <w:p w14:paraId="5366EEB4" w14:textId="2EE04B8E" w:rsidR="00E72515" w:rsidRDefault="00E72515" w:rsidP="00B23E55">
      <w:pPr>
        <w:pStyle w:val="ListParagraph"/>
        <w:spacing w:after="60" w:line="252" w:lineRule="auto"/>
        <w:ind w:left="0"/>
        <w:rPr>
          <w:rFonts w:ascii="Arial" w:eastAsia="Times New Roman" w:hAnsi="Arial" w:cs="Arial"/>
          <w:sz w:val="20"/>
          <w:szCs w:val="20"/>
          <w:lang w:val="en-US" w:eastAsia="en-US"/>
        </w:rPr>
      </w:pPr>
    </w:p>
    <w:p w14:paraId="2D3BAF69" w14:textId="28173B43" w:rsidR="00DC632B" w:rsidRDefault="00AD2020"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Figure 2 shows </w:t>
      </w:r>
      <w:r w:rsidR="004F516E">
        <w:rPr>
          <w:rFonts w:ascii="Arial" w:eastAsia="Times New Roman" w:hAnsi="Arial" w:cs="Arial"/>
          <w:sz w:val="20"/>
          <w:szCs w:val="20"/>
          <w:lang w:val="en-US" w:eastAsia="en-US"/>
        </w:rPr>
        <w:t>a baseline</w:t>
      </w:r>
      <w:r w:rsidR="00D26178">
        <w:rPr>
          <w:rFonts w:ascii="Arial" w:eastAsia="Times New Roman" w:hAnsi="Arial" w:cs="Arial"/>
          <w:sz w:val="20"/>
          <w:szCs w:val="20"/>
          <w:lang w:val="en-US" w:eastAsia="en-US"/>
        </w:rPr>
        <w:t xml:space="preserve"> procedure for</w:t>
      </w:r>
      <w:r>
        <w:rPr>
          <w:rFonts w:ascii="Arial" w:eastAsia="Times New Roman" w:hAnsi="Arial" w:cs="Arial"/>
          <w:sz w:val="20"/>
          <w:szCs w:val="20"/>
          <w:lang w:val="en-US" w:eastAsia="en-US"/>
        </w:rPr>
        <w:t xml:space="preserve"> inter-donor </w:t>
      </w:r>
      <w:r w:rsidR="00D26178">
        <w:rPr>
          <w:rFonts w:ascii="Arial" w:eastAsia="Times New Roman" w:hAnsi="Arial" w:cs="Arial"/>
          <w:sz w:val="20"/>
          <w:szCs w:val="20"/>
          <w:lang w:val="en-US" w:eastAsia="en-US"/>
        </w:rPr>
        <w:t xml:space="preserve">migration of </w:t>
      </w:r>
      <w:r>
        <w:rPr>
          <w:rFonts w:ascii="Arial" w:eastAsia="Times New Roman" w:hAnsi="Arial" w:cs="Arial"/>
          <w:sz w:val="20"/>
          <w:szCs w:val="20"/>
          <w:lang w:val="en-US" w:eastAsia="en-US"/>
        </w:rPr>
        <w:t>IAB-MT and IAB-DU</w:t>
      </w:r>
      <w:r w:rsidR="00D26178">
        <w:rPr>
          <w:rFonts w:ascii="Arial" w:eastAsia="Times New Roman" w:hAnsi="Arial" w:cs="Arial"/>
          <w:sz w:val="20"/>
          <w:szCs w:val="20"/>
          <w:lang w:val="en-US" w:eastAsia="en-US"/>
        </w:rPr>
        <w:t xml:space="preserve"> based on the example scenario in Figure 1.</w:t>
      </w:r>
      <w:r w:rsidR="001922EB">
        <w:rPr>
          <w:rFonts w:ascii="Arial" w:eastAsia="Times New Roman" w:hAnsi="Arial" w:cs="Arial"/>
          <w:sz w:val="20"/>
          <w:szCs w:val="20"/>
          <w:lang w:val="en-US" w:eastAsia="en-US"/>
        </w:rPr>
        <w:t xml:space="preserve"> </w:t>
      </w:r>
      <w:r w:rsidR="00D26178">
        <w:rPr>
          <w:rFonts w:ascii="Arial" w:eastAsia="Times New Roman" w:hAnsi="Arial" w:cs="Arial"/>
          <w:sz w:val="20"/>
          <w:szCs w:val="20"/>
          <w:lang w:val="en-US" w:eastAsia="en-US"/>
        </w:rPr>
        <w:t>T</w:t>
      </w:r>
      <w:r w:rsidR="001922EB">
        <w:rPr>
          <w:rFonts w:ascii="Arial" w:eastAsia="Times New Roman" w:hAnsi="Arial" w:cs="Arial"/>
          <w:sz w:val="20"/>
          <w:szCs w:val="20"/>
          <w:lang w:val="en-US" w:eastAsia="en-US"/>
        </w:rPr>
        <w:t>his procedure</w:t>
      </w:r>
      <w:r w:rsidR="00D26178">
        <w:rPr>
          <w:rFonts w:ascii="Arial" w:eastAsia="Times New Roman" w:hAnsi="Arial" w:cs="Arial"/>
          <w:sz w:val="20"/>
          <w:szCs w:val="20"/>
          <w:lang w:val="en-US" w:eastAsia="en-US"/>
        </w:rPr>
        <w:t xml:space="preserve"> supports options a, b and c as well as options 1 and 2</w:t>
      </w:r>
      <w:r w:rsidR="004F516E">
        <w:rPr>
          <w:rFonts w:ascii="Arial" w:eastAsia="Times New Roman" w:hAnsi="Arial" w:cs="Arial"/>
          <w:sz w:val="20"/>
          <w:szCs w:val="20"/>
          <w:lang w:val="en-US" w:eastAsia="en-US"/>
        </w:rPr>
        <w:t>,</w:t>
      </w:r>
      <w:r w:rsidR="00D26178">
        <w:rPr>
          <w:rFonts w:ascii="Arial" w:eastAsia="Times New Roman" w:hAnsi="Arial" w:cs="Arial"/>
          <w:sz w:val="20"/>
          <w:szCs w:val="20"/>
          <w:lang w:val="en-US" w:eastAsia="en-US"/>
        </w:rPr>
        <w:t xml:space="preserve"> above. </w:t>
      </w:r>
      <w:r w:rsidR="002A54F4">
        <w:rPr>
          <w:rFonts w:ascii="Arial" w:eastAsia="Times New Roman" w:hAnsi="Arial" w:cs="Arial"/>
          <w:sz w:val="20"/>
          <w:szCs w:val="20"/>
          <w:lang w:val="en-US" w:eastAsia="en-US"/>
        </w:rPr>
        <w:t>Th</w:t>
      </w:r>
      <w:r w:rsidR="004F516E">
        <w:rPr>
          <w:rFonts w:ascii="Arial" w:eastAsia="Times New Roman" w:hAnsi="Arial" w:cs="Arial"/>
          <w:sz w:val="20"/>
          <w:szCs w:val="20"/>
          <w:lang w:val="en-US" w:eastAsia="en-US"/>
        </w:rPr>
        <w:t>is</w:t>
      </w:r>
      <w:r w:rsidR="002A54F4">
        <w:rPr>
          <w:rFonts w:ascii="Arial" w:eastAsia="Times New Roman" w:hAnsi="Arial" w:cs="Arial"/>
          <w:sz w:val="20"/>
          <w:szCs w:val="20"/>
          <w:lang w:val="en-US" w:eastAsia="en-US"/>
        </w:rPr>
        <w:t xml:space="preserve"> procedure leverages signaling as much as possible. </w:t>
      </w:r>
      <w:r w:rsidR="001922EB">
        <w:rPr>
          <w:rFonts w:ascii="Arial" w:eastAsia="Times New Roman" w:hAnsi="Arial" w:cs="Arial"/>
          <w:sz w:val="20"/>
          <w:szCs w:val="20"/>
          <w:lang w:val="en-US" w:eastAsia="en-US"/>
        </w:rPr>
        <w:t>For better clarity, t</w:t>
      </w:r>
      <w:r w:rsidR="004D607C">
        <w:rPr>
          <w:rFonts w:ascii="Arial" w:eastAsia="Times New Roman" w:hAnsi="Arial" w:cs="Arial"/>
          <w:sz w:val="20"/>
          <w:szCs w:val="20"/>
          <w:lang w:val="en-US" w:eastAsia="en-US"/>
        </w:rPr>
        <w:t>he parent IAB-nodes and IAB-donor-DUs are not shown in the figure</w:t>
      </w:r>
      <w:r w:rsidR="001922EB">
        <w:rPr>
          <w:rFonts w:ascii="Arial" w:eastAsia="Times New Roman" w:hAnsi="Arial" w:cs="Arial"/>
          <w:sz w:val="20"/>
          <w:szCs w:val="20"/>
          <w:lang w:val="en-US" w:eastAsia="en-US"/>
        </w:rPr>
        <w:t xml:space="preserve"> and IAB-node-3 is just referred to as </w:t>
      </w:r>
      <w:r w:rsidR="001922EB" w:rsidRPr="004754F1">
        <w:rPr>
          <w:rFonts w:ascii="Arial" w:eastAsia="Times New Roman" w:hAnsi="Arial" w:cs="Arial"/>
          <w:i/>
          <w:iCs/>
          <w:sz w:val="20"/>
          <w:szCs w:val="20"/>
          <w:lang w:val="en-US" w:eastAsia="en-US"/>
        </w:rPr>
        <w:t>IAB-node</w:t>
      </w:r>
      <w:r w:rsidR="004D607C">
        <w:rPr>
          <w:rFonts w:ascii="Arial" w:eastAsia="Times New Roman" w:hAnsi="Arial" w:cs="Arial"/>
          <w:sz w:val="20"/>
          <w:szCs w:val="20"/>
          <w:lang w:val="en-US" w:eastAsia="en-US"/>
        </w:rPr>
        <w:t>.</w:t>
      </w:r>
      <w:r w:rsidR="002A54F4">
        <w:rPr>
          <w:rFonts w:ascii="Arial" w:eastAsia="Times New Roman" w:hAnsi="Arial" w:cs="Arial"/>
          <w:sz w:val="20"/>
          <w:szCs w:val="20"/>
          <w:lang w:val="en-US" w:eastAsia="en-US"/>
        </w:rPr>
        <w:t xml:space="preserve"> </w:t>
      </w:r>
      <w:r w:rsidR="004F516E">
        <w:rPr>
          <w:rFonts w:ascii="Arial" w:eastAsia="Times New Roman" w:hAnsi="Arial" w:cs="Arial"/>
          <w:sz w:val="20"/>
          <w:szCs w:val="20"/>
          <w:lang w:val="en-US" w:eastAsia="en-US"/>
        </w:rPr>
        <w:t>All s</w:t>
      </w:r>
      <w:r w:rsidR="002A54F4">
        <w:rPr>
          <w:rFonts w:ascii="Arial" w:eastAsia="Times New Roman" w:hAnsi="Arial" w:cs="Arial"/>
          <w:sz w:val="20"/>
          <w:szCs w:val="20"/>
          <w:lang w:val="en-US" w:eastAsia="en-US"/>
        </w:rPr>
        <w:t xml:space="preserve">ignaling shown in </w:t>
      </w:r>
      <w:r w:rsidR="002A54F4" w:rsidRPr="00133BCA">
        <w:rPr>
          <w:rFonts w:ascii="Arial" w:eastAsia="Times New Roman" w:hAnsi="Arial" w:cs="Arial"/>
          <w:color w:val="FF0000"/>
          <w:sz w:val="20"/>
          <w:szCs w:val="20"/>
          <w:lang w:val="en-US" w:eastAsia="en-US"/>
        </w:rPr>
        <w:t xml:space="preserve">red </w:t>
      </w:r>
      <w:r w:rsidR="004F516E">
        <w:rPr>
          <w:rFonts w:ascii="Arial" w:eastAsia="Times New Roman" w:hAnsi="Arial" w:cs="Arial"/>
          <w:sz w:val="20"/>
          <w:szCs w:val="20"/>
          <w:lang w:val="en-US" w:eastAsia="en-US"/>
        </w:rPr>
        <w:t xml:space="preserve">is </w:t>
      </w:r>
      <w:r w:rsidR="004F516E">
        <w:rPr>
          <w:rFonts w:ascii="Arial" w:eastAsia="Times New Roman" w:hAnsi="Arial" w:cs="Arial"/>
          <w:sz w:val="20"/>
          <w:szCs w:val="20"/>
          <w:lang w:val="en-US" w:eastAsia="en-US"/>
        </w:rPr>
        <w:lastRenderedPageBreak/>
        <w:t xml:space="preserve">introduced </w:t>
      </w:r>
      <w:r w:rsidR="00133BCA">
        <w:rPr>
          <w:rFonts w:ascii="Arial" w:eastAsia="Times New Roman" w:hAnsi="Arial" w:cs="Arial"/>
          <w:sz w:val="20"/>
          <w:szCs w:val="20"/>
          <w:lang w:val="en-US" w:eastAsia="en-US"/>
        </w:rPr>
        <w:t>for the support</w:t>
      </w:r>
      <w:r w:rsidR="002A54F4">
        <w:rPr>
          <w:rFonts w:ascii="Arial" w:eastAsia="Times New Roman" w:hAnsi="Arial" w:cs="Arial"/>
          <w:sz w:val="20"/>
          <w:szCs w:val="20"/>
          <w:lang w:val="en-US" w:eastAsia="en-US"/>
        </w:rPr>
        <w:t xml:space="preserve"> IAB-DU migration.</w:t>
      </w:r>
      <w:r w:rsidR="00CF3378">
        <w:rPr>
          <w:rFonts w:ascii="Arial" w:eastAsia="Times New Roman" w:hAnsi="Arial" w:cs="Arial"/>
          <w:sz w:val="20"/>
          <w:szCs w:val="20"/>
          <w:lang w:val="en-US" w:eastAsia="en-US"/>
        </w:rPr>
        <w:t xml:space="preserve"> T</w:t>
      </w:r>
      <w:r w:rsidR="004F516E">
        <w:rPr>
          <w:rFonts w:ascii="Arial" w:eastAsia="Times New Roman" w:hAnsi="Arial" w:cs="Arial"/>
          <w:sz w:val="20"/>
          <w:szCs w:val="20"/>
          <w:lang w:val="en-US" w:eastAsia="en-US"/>
        </w:rPr>
        <w:t xml:space="preserve">his signaling </w:t>
      </w:r>
      <w:r w:rsidR="00CF3378">
        <w:rPr>
          <w:rFonts w:ascii="Arial" w:eastAsia="Times New Roman" w:hAnsi="Arial" w:cs="Arial"/>
          <w:sz w:val="20"/>
          <w:szCs w:val="20"/>
          <w:lang w:val="en-US" w:eastAsia="en-US"/>
        </w:rPr>
        <w:t>may be accommodated via existing messages</w:t>
      </w:r>
      <w:r w:rsidR="004F516E">
        <w:rPr>
          <w:rFonts w:ascii="Arial" w:eastAsia="Times New Roman" w:hAnsi="Arial" w:cs="Arial"/>
          <w:sz w:val="20"/>
          <w:szCs w:val="20"/>
          <w:lang w:val="en-US" w:eastAsia="en-US"/>
        </w:rPr>
        <w:t>, i.e., it only requires additional IEs</w:t>
      </w:r>
      <w:r w:rsidR="00CF3378">
        <w:rPr>
          <w:rFonts w:ascii="Arial" w:eastAsia="Times New Roman" w:hAnsi="Arial" w:cs="Arial"/>
          <w:sz w:val="20"/>
          <w:szCs w:val="20"/>
          <w:lang w:val="en-US" w:eastAsia="en-US"/>
        </w:rPr>
        <w:t xml:space="preserve">. </w:t>
      </w:r>
    </w:p>
    <w:p w14:paraId="26B0093A" w14:textId="77777777" w:rsidR="00D26178" w:rsidRPr="00DC632B" w:rsidRDefault="00D26178" w:rsidP="00300010">
      <w:pPr>
        <w:pStyle w:val="ListParagraph"/>
        <w:spacing w:after="60" w:line="252" w:lineRule="auto"/>
        <w:ind w:left="0"/>
        <w:rPr>
          <w:rFonts w:ascii="Arial" w:eastAsia="Times New Roman" w:hAnsi="Arial" w:cs="Arial"/>
          <w:sz w:val="20"/>
          <w:szCs w:val="20"/>
          <w:lang w:val="en-US" w:eastAsia="en-US"/>
        </w:rPr>
      </w:pPr>
    </w:p>
    <w:p w14:paraId="56C80878" w14:textId="2FC41525" w:rsidR="00DC632B" w:rsidRPr="00DC632B" w:rsidRDefault="005F45FD" w:rsidP="004D607C">
      <w:pPr>
        <w:pStyle w:val="ListParagraph"/>
        <w:spacing w:after="60" w:line="252" w:lineRule="auto"/>
        <w:ind w:left="0"/>
        <w:jc w:val="center"/>
        <w:rPr>
          <w:rFonts w:ascii="Arial" w:eastAsia="Times New Roman" w:hAnsi="Arial" w:cs="Arial"/>
          <w:sz w:val="20"/>
          <w:szCs w:val="20"/>
          <w:lang w:val="en-US" w:eastAsia="en-US"/>
        </w:rPr>
      </w:pPr>
      <w:r>
        <w:object w:dxaOrig="11956" w:dyaOrig="13756" w14:anchorId="3613EE82">
          <v:shape id="_x0000_i1041" type="#_x0000_t75" style="width:482pt;height:554.45pt" o:ole="">
            <v:imagedata r:id="rId10" o:title=""/>
          </v:shape>
          <o:OLEObject Type="Embed" ProgID="Visio.Drawing.15" ShapeID="_x0000_i1041" DrawAspect="Content" ObjectID="_1681723499" r:id="rId11"/>
        </w:object>
      </w:r>
    </w:p>
    <w:p w14:paraId="7ED1CDD3" w14:textId="66ABF22A" w:rsidR="004D607C" w:rsidRPr="00E72515" w:rsidRDefault="004D607C" w:rsidP="004D607C">
      <w:pPr>
        <w:pStyle w:val="ListParagraph"/>
        <w:spacing w:after="60" w:line="252" w:lineRule="auto"/>
        <w:ind w:left="0"/>
        <w:jc w:val="center"/>
        <w:rPr>
          <w:rFonts w:ascii="Arial" w:eastAsia="Times New Roman" w:hAnsi="Arial" w:cs="Arial"/>
          <w:b/>
          <w:bCs/>
          <w:sz w:val="20"/>
          <w:szCs w:val="20"/>
          <w:lang w:val="en-US" w:eastAsia="en-US"/>
        </w:rPr>
      </w:pPr>
      <w:r w:rsidRPr="00E72515">
        <w:rPr>
          <w:rFonts w:ascii="Arial" w:eastAsia="Times New Roman" w:hAnsi="Arial" w:cs="Arial"/>
          <w:b/>
          <w:bCs/>
          <w:sz w:val="20"/>
          <w:szCs w:val="20"/>
          <w:lang w:val="en-US" w:eastAsia="en-US"/>
        </w:rPr>
        <w:t xml:space="preserve">Figure </w:t>
      </w:r>
      <w:r>
        <w:rPr>
          <w:rFonts w:ascii="Arial" w:eastAsia="Times New Roman" w:hAnsi="Arial" w:cs="Arial"/>
          <w:b/>
          <w:bCs/>
          <w:sz w:val="20"/>
          <w:szCs w:val="20"/>
          <w:lang w:val="en-US" w:eastAsia="en-US"/>
        </w:rPr>
        <w:t>2</w:t>
      </w:r>
      <w:r w:rsidRPr="00E72515">
        <w:rPr>
          <w:rFonts w:ascii="Arial" w:eastAsia="Times New Roman" w:hAnsi="Arial" w:cs="Arial"/>
          <w:b/>
          <w:bCs/>
          <w:sz w:val="20"/>
          <w:szCs w:val="20"/>
          <w:lang w:val="en-US" w:eastAsia="en-US"/>
        </w:rPr>
        <w:t xml:space="preserve">: </w:t>
      </w:r>
      <w:r>
        <w:rPr>
          <w:rFonts w:ascii="Arial" w:eastAsia="Times New Roman" w:hAnsi="Arial" w:cs="Arial"/>
          <w:b/>
          <w:bCs/>
          <w:sz w:val="20"/>
          <w:szCs w:val="20"/>
          <w:lang w:val="en-US" w:eastAsia="en-US"/>
        </w:rPr>
        <w:t>Procedure for</w:t>
      </w:r>
      <w:r w:rsidR="00D26178">
        <w:rPr>
          <w:rFonts w:ascii="Arial" w:eastAsia="Times New Roman" w:hAnsi="Arial" w:cs="Arial"/>
          <w:b/>
          <w:bCs/>
          <w:sz w:val="20"/>
          <w:szCs w:val="20"/>
          <w:lang w:val="en-US" w:eastAsia="en-US"/>
        </w:rPr>
        <w:t xml:space="preserve"> inter-donor migration of</w:t>
      </w:r>
      <w:r>
        <w:rPr>
          <w:rFonts w:ascii="Arial" w:eastAsia="Times New Roman" w:hAnsi="Arial" w:cs="Arial"/>
          <w:b/>
          <w:bCs/>
          <w:sz w:val="20"/>
          <w:szCs w:val="20"/>
          <w:lang w:val="en-US" w:eastAsia="en-US"/>
        </w:rPr>
        <w:t xml:space="preserve"> IAB-MT and IAB-DU </w:t>
      </w:r>
    </w:p>
    <w:p w14:paraId="53D0A6E1" w14:textId="77777777" w:rsidR="00DC632B" w:rsidRPr="00DC632B" w:rsidRDefault="00DC632B" w:rsidP="00300010">
      <w:pPr>
        <w:pStyle w:val="ListParagraph"/>
        <w:spacing w:after="60" w:line="252" w:lineRule="auto"/>
        <w:ind w:left="0"/>
        <w:rPr>
          <w:rFonts w:ascii="Arial" w:eastAsia="Times New Roman" w:hAnsi="Arial" w:cs="Arial"/>
          <w:sz w:val="20"/>
          <w:szCs w:val="20"/>
          <w:lang w:val="en-US" w:eastAsia="en-US"/>
        </w:rPr>
      </w:pPr>
    </w:p>
    <w:p w14:paraId="3142DD71" w14:textId="2B3D50E4" w:rsidR="00627D20" w:rsidRPr="004D607C" w:rsidRDefault="004D607C" w:rsidP="00FF6848">
      <w:pPr>
        <w:spacing w:before="240" w:after="0"/>
        <w:rPr>
          <w:rFonts w:eastAsia="Times New Roman" w:cs="Arial"/>
          <w:lang w:eastAsia="en-US"/>
        </w:rPr>
      </w:pPr>
      <w:r w:rsidRPr="004D607C">
        <w:rPr>
          <w:rFonts w:eastAsia="Times New Roman" w:cs="Arial"/>
          <w:lang w:eastAsia="en-US"/>
        </w:rPr>
        <w:t>The procedure has the following steps:</w:t>
      </w:r>
    </w:p>
    <w:p w14:paraId="3ECEE56E" w14:textId="1E3047AB" w:rsidR="00AD1848" w:rsidRDefault="001922EB" w:rsidP="00FF6848">
      <w:pPr>
        <w:pStyle w:val="ListParagraph"/>
        <w:spacing w:before="240"/>
        <w:ind w:left="331" w:hanging="331"/>
        <w:rPr>
          <w:rFonts w:ascii="Arial" w:eastAsia="Times New Roman" w:hAnsi="Arial" w:cs="Arial"/>
          <w:sz w:val="20"/>
          <w:szCs w:val="20"/>
          <w:lang w:val="en-US" w:eastAsia="en-US"/>
        </w:rPr>
      </w:pPr>
      <w:r>
        <w:rPr>
          <w:rFonts w:ascii="Arial" w:eastAsia="Times New Roman" w:hAnsi="Arial" w:cs="Arial"/>
          <w:sz w:val="20"/>
          <w:szCs w:val="20"/>
          <w:lang w:val="en-US" w:eastAsia="en-US"/>
        </w:rPr>
        <w:t>1a: The IAB-MT is migrated from IAB-donor 1 to IAB-donor 2 using Xn handover or CHO.</w:t>
      </w:r>
    </w:p>
    <w:p w14:paraId="27F56D72" w14:textId="7DB4272B" w:rsidR="001922EB" w:rsidRDefault="001922EB" w:rsidP="00FF6848">
      <w:pPr>
        <w:pStyle w:val="ListParagraph"/>
        <w:spacing w:before="240"/>
        <w:ind w:left="331" w:hanging="331"/>
        <w:rPr>
          <w:rFonts w:ascii="Arial" w:eastAsia="Times New Roman" w:hAnsi="Arial" w:cs="Arial"/>
          <w:sz w:val="20"/>
          <w:szCs w:val="20"/>
          <w:lang w:val="en-US" w:eastAsia="en-US"/>
        </w:rPr>
      </w:pPr>
      <w:r>
        <w:rPr>
          <w:rFonts w:ascii="Arial" w:eastAsia="Times New Roman" w:hAnsi="Arial" w:cs="Arial"/>
          <w:sz w:val="20"/>
          <w:szCs w:val="20"/>
          <w:lang w:val="en-US" w:eastAsia="en-US"/>
        </w:rPr>
        <w:t>1b: The BH traffic is migrated to the target path. At this point, backhaul operation is supported.</w:t>
      </w:r>
    </w:p>
    <w:p w14:paraId="411E5959" w14:textId="2D5EDD6F" w:rsidR="00B97369" w:rsidRDefault="001922EB" w:rsidP="00FF6848">
      <w:pPr>
        <w:pStyle w:val="ListParagraph"/>
        <w:spacing w:before="240"/>
        <w:ind w:left="331" w:hanging="331"/>
        <w:rPr>
          <w:rFonts w:ascii="Arial" w:eastAsia="Times New Roman" w:hAnsi="Arial" w:cs="Arial"/>
          <w:sz w:val="20"/>
          <w:szCs w:val="20"/>
          <w:lang w:val="en-US" w:eastAsia="en-US"/>
        </w:rPr>
      </w:pPr>
      <w:r>
        <w:rPr>
          <w:rFonts w:ascii="Arial" w:eastAsia="Times New Roman" w:hAnsi="Arial" w:cs="Arial"/>
          <w:sz w:val="20"/>
          <w:szCs w:val="20"/>
          <w:lang w:val="en-US" w:eastAsia="en-US"/>
        </w:rPr>
        <w:lastRenderedPageBreak/>
        <w:t xml:space="preserve">2a: </w:t>
      </w:r>
      <w:r w:rsidR="00B97369" w:rsidRPr="008606BF">
        <w:rPr>
          <w:rFonts w:ascii="Arial" w:eastAsia="Times New Roman" w:hAnsi="Arial" w:cs="Arial"/>
          <w:sz w:val="20"/>
          <w:szCs w:val="20"/>
          <w:u w:val="single"/>
          <w:lang w:val="en-US" w:eastAsia="en-US"/>
        </w:rPr>
        <w:t>Option b only</w:t>
      </w:r>
      <w:r w:rsidR="00B97369">
        <w:rPr>
          <w:rFonts w:ascii="Arial" w:eastAsia="Times New Roman" w:hAnsi="Arial" w:cs="Arial"/>
          <w:sz w:val="20"/>
          <w:szCs w:val="20"/>
          <w:lang w:val="en-US" w:eastAsia="en-US"/>
        </w:rPr>
        <w:t>: A trigger for t</w:t>
      </w:r>
      <w:r w:rsidR="00DF47BA">
        <w:rPr>
          <w:rFonts w:ascii="Arial" w:eastAsia="Times New Roman" w:hAnsi="Arial" w:cs="Arial"/>
          <w:sz w:val="20"/>
          <w:szCs w:val="20"/>
          <w:lang w:val="en-US" w:eastAsia="en-US"/>
        </w:rPr>
        <w:t xml:space="preserve">he </w:t>
      </w:r>
      <w:r w:rsidR="00B97369">
        <w:rPr>
          <w:rFonts w:ascii="Arial" w:eastAsia="Times New Roman" w:hAnsi="Arial" w:cs="Arial"/>
          <w:sz w:val="20"/>
          <w:szCs w:val="20"/>
          <w:lang w:val="en-US" w:eastAsia="en-US"/>
        </w:rPr>
        <w:t xml:space="preserve">establishment of </w:t>
      </w:r>
      <w:r w:rsidR="00885053">
        <w:rPr>
          <w:rFonts w:ascii="Arial" w:eastAsia="Times New Roman" w:hAnsi="Arial" w:cs="Arial"/>
          <w:sz w:val="20"/>
          <w:szCs w:val="20"/>
          <w:lang w:val="en-US" w:eastAsia="en-US"/>
        </w:rPr>
        <w:t>F1-C</w:t>
      </w:r>
      <w:r w:rsidR="00B97369">
        <w:rPr>
          <w:rFonts w:ascii="Arial" w:eastAsia="Times New Roman" w:hAnsi="Arial" w:cs="Arial"/>
          <w:sz w:val="20"/>
          <w:szCs w:val="20"/>
          <w:lang w:val="en-US" w:eastAsia="en-US"/>
        </w:rPr>
        <w:t xml:space="preserve"> with CU2 is sent from CU2 to CU1 via XnAP.</w:t>
      </w:r>
    </w:p>
    <w:p w14:paraId="4FBCBECB" w14:textId="2829986F" w:rsidR="00B97369" w:rsidRDefault="00B97369" w:rsidP="00FF6848">
      <w:pPr>
        <w:pStyle w:val="ListParagraph"/>
        <w:spacing w:before="240"/>
        <w:ind w:left="331" w:hanging="331"/>
        <w:rPr>
          <w:rFonts w:ascii="Arial" w:eastAsia="Times New Roman" w:hAnsi="Arial" w:cs="Arial"/>
          <w:sz w:val="20"/>
          <w:szCs w:val="20"/>
          <w:lang w:val="en-US" w:eastAsia="en-US"/>
        </w:rPr>
      </w:pPr>
      <w:r>
        <w:rPr>
          <w:rFonts w:ascii="Arial" w:eastAsia="Times New Roman" w:hAnsi="Arial" w:cs="Arial"/>
          <w:sz w:val="20"/>
          <w:szCs w:val="20"/>
          <w:lang w:val="en-US" w:eastAsia="en-US"/>
        </w:rPr>
        <w:t xml:space="preserve">2b: </w:t>
      </w:r>
      <w:r w:rsidRPr="008606BF">
        <w:rPr>
          <w:rFonts w:ascii="Arial" w:eastAsia="Times New Roman" w:hAnsi="Arial" w:cs="Arial"/>
          <w:sz w:val="20"/>
          <w:szCs w:val="20"/>
          <w:u w:val="single"/>
          <w:lang w:val="en-US" w:eastAsia="en-US"/>
        </w:rPr>
        <w:t>Options a and b only</w:t>
      </w:r>
      <w:r>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 xml:space="preserve">A trigger for the establishment of </w:t>
      </w:r>
      <w:r w:rsidR="00885053">
        <w:rPr>
          <w:rFonts w:ascii="Arial" w:eastAsia="Times New Roman" w:hAnsi="Arial" w:cs="Arial"/>
          <w:sz w:val="20"/>
          <w:szCs w:val="20"/>
          <w:lang w:val="en-US" w:eastAsia="en-US"/>
        </w:rPr>
        <w:t>F1-C</w:t>
      </w:r>
      <w:r>
        <w:rPr>
          <w:rFonts w:ascii="Arial" w:eastAsia="Times New Roman" w:hAnsi="Arial" w:cs="Arial"/>
          <w:sz w:val="20"/>
          <w:szCs w:val="20"/>
          <w:lang w:val="en-US" w:eastAsia="en-US"/>
        </w:rPr>
        <w:t xml:space="preserve"> with CU2 is sent from CU</w:t>
      </w:r>
      <w:r>
        <w:rPr>
          <w:rFonts w:ascii="Arial" w:eastAsia="Times New Roman" w:hAnsi="Arial" w:cs="Arial"/>
          <w:sz w:val="20"/>
          <w:szCs w:val="20"/>
          <w:lang w:val="en-US" w:eastAsia="en-US"/>
        </w:rPr>
        <w:t>1</w:t>
      </w:r>
      <w:r>
        <w:rPr>
          <w:rFonts w:ascii="Arial" w:eastAsia="Times New Roman" w:hAnsi="Arial" w:cs="Arial"/>
          <w:sz w:val="20"/>
          <w:szCs w:val="20"/>
          <w:lang w:val="en-US" w:eastAsia="en-US"/>
        </w:rPr>
        <w:t xml:space="preserve"> to </w:t>
      </w:r>
      <w:r>
        <w:rPr>
          <w:rFonts w:ascii="Arial" w:eastAsia="Times New Roman" w:hAnsi="Arial" w:cs="Arial"/>
          <w:sz w:val="20"/>
          <w:szCs w:val="20"/>
          <w:lang w:val="en-US" w:eastAsia="en-US"/>
        </w:rPr>
        <w:t>the IAB-node via F1AP</w:t>
      </w:r>
      <w:r>
        <w:rPr>
          <w:rFonts w:ascii="Arial" w:eastAsia="Times New Roman" w:hAnsi="Arial" w:cs="Arial"/>
          <w:sz w:val="20"/>
          <w:szCs w:val="20"/>
          <w:lang w:val="en-US" w:eastAsia="en-US"/>
        </w:rPr>
        <w:t>.</w:t>
      </w:r>
    </w:p>
    <w:p w14:paraId="61D0A3BF" w14:textId="3088C575" w:rsidR="006B62FA" w:rsidRPr="008606BF" w:rsidRDefault="006B62FA" w:rsidP="00FF6848">
      <w:pPr>
        <w:spacing w:before="240" w:after="0"/>
        <w:ind w:left="331" w:hanging="331"/>
        <w:jc w:val="left"/>
        <w:rPr>
          <w:rFonts w:eastAsia="Times New Roman" w:cs="Arial"/>
          <w:lang w:eastAsia="en-US"/>
        </w:rPr>
      </w:pPr>
      <w:r w:rsidRPr="006B62FA">
        <w:rPr>
          <w:rFonts w:eastAsia="Times New Roman" w:cs="Arial"/>
          <w:lang w:eastAsia="en-US"/>
        </w:rPr>
        <w:t>2</w:t>
      </w:r>
      <w:r w:rsidR="008606BF">
        <w:rPr>
          <w:rFonts w:eastAsia="Times New Roman" w:cs="Arial"/>
          <w:lang w:eastAsia="en-US"/>
        </w:rPr>
        <w:t>c</w:t>
      </w:r>
      <w:r w:rsidRPr="006B62FA">
        <w:rPr>
          <w:rFonts w:eastAsia="Times New Roman" w:cs="Arial"/>
          <w:lang w:eastAsia="en-US"/>
        </w:rPr>
        <w:t xml:space="preserve">: The </w:t>
      </w:r>
      <w:r>
        <w:rPr>
          <w:rFonts w:eastAsia="Times New Roman" w:cs="Arial"/>
          <w:lang w:eastAsia="en-US"/>
        </w:rPr>
        <w:t xml:space="preserve">IAB-node establishes </w:t>
      </w:r>
      <w:r w:rsidR="00885053">
        <w:rPr>
          <w:rFonts w:eastAsia="Times New Roman" w:cs="Arial"/>
          <w:lang w:eastAsia="en-US"/>
        </w:rPr>
        <w:t>F1</w:t>
      </w:r>
      <w:r w:rsidR="0042593E">
        <w:rPr>
          <w:rFonts w:eastAsia="Times New Roman" w:cs="Arial"/>
          <w:lang w:eastAsia="en-US"/>
        </w:rPr>
        <w:t>-</w:t>
      </w:r>
      <w:r w:rsidR="00885053">
        <w:rPr>
          <w:rFonts w:eastAsia="Times New Roman" w:cs="Arial"/>
          <w:lang w:eastAsia="en-US"/>
        </w:rPr>
        <w:t>C</w:t>
      </w:r>
      <w:r>
        <w:rPr>
          <w:rFonts w:eastAsia="Times New Roman" w:cs="Arial"/>
          <w:lang w:eastAsia="en-US"/>
        </w:rPr>
        <w:t xml:space="preserve"> with IAB-donor-CU2.</w:t>
      </w:r>
      <w:r w:rsidR="0042593E">
        <w:rPr>
          <w:rFonts w:eastAsia="Times New Roman" w:cs="Arial"/>
          <w:lang w:eastAsia="en-US"/>
        </w:rPr>
        <w:t xml:space="preserve"> </w:t>
      </w:r>
      <w:r w:rsidR="002656E9" w:rsidRPr="008606BF">
        <w:rPr>
          <w:rFonts w:eastAsia="Times New Roman" w:cs="Arial"/>
          <w:lang w:eastAsia="en-US"/>
        </w:rPr>
        <w:t>The F1 Setup Request message include</w:t>
      </w:r>
      <w:r w:rsidR="000C1EE9">
        <w:rPr>
          <w:rFonts w:eastAsia="Times New Roman" w:cs="Arial"/>
          <w:lang w:eastAsia="en-US"/>
        </w:rPr>
        <w:t>s</w:t>
      </w:r>
      <w:r w:rsidR="002656E9" w:rsidRPr="008606BF">
        <w:rPr>
          <w:rFonts w:eastAsia="Times New Roman" w:cs="Arial"/>
          <w:lang w:eastAsia="en-US"/>
        </w:rPr>
        <w:t xml:space="preserve"> the NCIs of the currently served cells</w:t>
      </w:r>
      <w:r w:rsidR="00D52CE8">
        <w:rPr>
          <w:rFonts w:eastAsia="Times New Roman" w:cs="Arial"/>
          <w:lang w:eastAsia="en-US"/>
        </w:rPr>
        <w:t>.</w:t>
      </w:r>
    </w:p>
    <w:p w14:paraId="2D2B5802" w14:textId="42D30007" w:rsidR="008606BF" w:rsidRPr="008606BF" w:rsidRDefault="008606BF" w:rsidP="00FF6848">
      <w:pPr>
        <w:spacing w:before="240" w:after="0"/>
        <w:ind w:left="331" w:hanging="331"/>
        <w:jc w:val="left"/>
        <w:rPr>
          <w:rFonts w:eastAsia="Times New Roman" w:cs="Arial"/>
          <w:lang w:eastAsia="en-US"/>
        </w:rPr>
      </w:pPr>
      <w:r w:rsidRPr="006B62FA">
        <w:rPr>
          <w:rFonts w:eastAsia="Times New Roman" w:cs="Arial"/>
          <w:lang w:eastAsia="en-US"/>
        </w:rPr>
        <w:t>2</w:t>
      </w:r>
      <w:r>
        <w:rPr>
          <w:rFonts w:eastAsia="Times New Roman" w:cs="Arial"/>
          <w:lang w:eastAsia="en-US"/>
        </w:rPr>
        <w:t>d</w:t>
      </w:r>
      <w:r w:rsidRPr="006B62FA">
        <w:rPr>
          <w:rFonts w:eastAsia="Times New Roman" w:cs="Arial"/>
          <w:lang w:eastAsia="en-US"/>
        </w:rPr>
        <w:t xml:space="preserve">: </w:t>
      </w:r>
      <w:r>
        <w:rPr>
          <w:rFonts w:eastAsia="Times New Roman" w:cs="Arial"/>
          <w:lang w:eastAsia="en-US"/>
        </w:rPr>
        <w:t>The IAB-node indicates to IAB-donor-CU1 that F1</w:t>
      </w:r>
      <w:r w:rsidR="00D52CE8">
        <w:rPr>
          <w:rFonts w:eastAsia="Times New Roman" w:cs="Arial"/>
          <w:lang w:eastAsia="en-US"/>
        </w:rPr>
        <w:t>-C</w:t>
      </w:r>
      <w:r>
        <w:rPr>
          <w:rFonts w:eastAsia="Times New Roman" w:cs="Arial"/>
          <w:lang w:eastAsia="en-US"/>
        </w:rPr>
        <w:t xml:space="preserve"> </w:t>
      </w:r>
      <w:r>
        <w:rPr>
          <w:rFonts w:eastAsia="Times New Roman" w:cs="Arial"/>
          <w:lang w:eastAsia="en-US"/>
        </w:rPr>
        <w:t>with</w:t>
      </w:r>
      <w:r>
        <w:rPr>
          <w:rFonts w:eastAsia="Times New Roman" w:cs="Arial"/>
          <w:lang w:eastAsia="en-US"/>
        </w:rPr>
        <w:t xml:space="preserve"> IAB-donor-CU2 has been established</w:t>
      </w:r>
      <w:r>
        <w:rPr>
          <w:rFonts w:eastAsia="Times New Roman" w:cs="Arial"/>
          <w:lang w:eastAsia="en-US"/>
        </w:rPr>
        <w:t xml:space="preserve">, and it includes </w:t>
      </w:r>
      <w:r>
        <w:rPr>
          <w:rFonts w:eastAsia="Times New Roman" w:cs="Arial"/>
          <w:lang w:eastAsia="en-US"/>
        </w:rPr>
        <w:t>the mapping between source and target PCI/NCI values.</w:t>
      </w:r>
      <w:r>
        <w:rPr>
          <w:rFonts w:eastAsia="Times New Roman" w:cs="Arial"/>
          <w:lang w:eastAsia="en-US"/>
        </w:rPr>
        <w:t xml:space="preserve"> </w:t>
      </w:r>
      <w:r w:rsidR="000466EB" w:rsidRPr="000466EB">
        <w:rPr>
          <w:rFonts w:eastAsia="Times New Roman" w:cs="Arial"/>
          <w:u w:val="single"/>
          <w:lang w:eastAsia="en-US"/>
        </w:rPr>
        <w:t>Option c only</w:t>
      </w:r>
      <w:r w:rsidR="000466EB">
        <w:rPr>
          <w:rFonts w:eastAsia="Times New Roman" w:cs="Arial"/>
          <w:lang w:eastAsia="en-US"/>
        </w:rPr>
        <w:t>: This message triggers step 3b.</w:t>
      </w:r>
    </w:p>
    <w:p w14:paraId="7226E2AD" w14:textId="0BC24AFE" w:rsidR="002656E9" w:rsidRDefault="002656E9" w:rsidP="00FF6848">
      <w:pPr>
        <w:spacing w:before="240" w:after="0"/>
        <w:ind w:left="331" w:hanging="331"/>
        <w:rPr>
          <w:rFonts w:eastAsia="Times New Roman" w:cs="Arial"/>
          <w:lang w:eastAsia="en-US"/>
        </w:rPr>
      </w:pPr>
    </w:p>
    <w:p w14:paraId="57CD7E03" w14:textId="38ECDE4D" w:rsidR="008606BF" w:rsidRDefault="008606BF" w:rsidP="00FF6848">
      <w:pPr>
        <w:pStyle w:val="ListParagraph"/>
        <w:spacing w:before="240"/>
        <w:ind w:left="331" w:hanging="331"/>
        <w:rPr>
          <w:rFonts w:ascii="Arial" w:eastAsia="Times New Roman" w:hAnsi="Arial" w:cs="Arial"/>
          <w:sz w:val="20"/>
          <w:szCs w:val="20"/>
          <w:lang w:val="en-US" w:eastAsia="en-US"/>
        </w:rPr>
      </w:pPr>
      <w:r w:rsidRPr="008606BF">
        <w:rPr>
          <w:rFonts w:ascii="Arial" w:eastAsia="Times New Roman" w:hAnsi="Arial" w:cs="Arial"/>
          <w:sz w:val="20"/>
          <w:szCs w:val="20"/>
          <w:lang w:val="en-US" w:eastAsia="en-US"/>
        </w:rPr>
        <w:t xml:space="preserve">3a: </w:t>
      </w:r>
      <w:r w:rsidRPr="008606BF">
        <w:rPr>
          <w:rFonts w:ascii="Arial" w:eastAsia="Times New Roman" w:hAnsi="Arial" w:cs="Arial"/>
          <w:sz w:val="20"/>
          <w:szCs w:val="20"/>
          <w:u w:val="single"/>
          <w:lang w:val="en-US" w:eastAsia="en-US"/>
        </w:rPr>
        <w:t>Option b only</w:t>
      </w:r>
      <w:r w:rsidRPr="008606BF">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 xml:space="preserve">A trigger for the </w:t>
      </w:r>
      <w:r>
        <w:rPr>
          <w:rFonts w:ascii="Arial" w:eastAsia="Times New Roman" w:hAnsi="Arial" w:cs="Arial"/>
          <w:sz w:val="20"/>
          <w:szCs w:val="20"/>
          <w:lang w:val="en-US" w:eastAsia="en-US"/>
        </w:rPr>
        <w:t xml:space="preserve">switch of the IAB-DU’s served cells is </w:t>
      </w:r>
      <w:r>
        <w:rPr>
          <w:rFonts w:ascii="Arial" w:eastAsia="Times New Roman" w:hAnsi="Arial" w:cs="Arial"/>
          <w:sz w:val="20"/>
          <w:szCs w:val="20"/>
          <w:lang w:val="en-US" w:eastAsia="en-US"/>
        </w:rPr>
        <w:t>sent from CU2 to CU1 via XnAP.</w:t>
      </w:r>
    </w:p>
    <w:p w14:paraId="37C3AB38" w14:textId="777DDFB2" w:rsidR="008606BF" w:rsidRDefault="008606BF" w:rsidP="00FF6848">
      <w:pPr>
        <w:spacing w:before="240" w:after="0"/>
        <w:ind w:left="331" w:hanging="331"/>
        <w:rPr>
          <w:rFonts w:eastAsia="Times New Roman" w:cs="Arial"/>
          <w:lang w:eastAsia="en-US"/>
        </w:rPr>
      </w:pPr>
      <w:r>
        <w:rPr>
          <w:rFonts w:eastAsia="Times New Roman" w:cs="Arial"/>
          <w:lang w:eastAsia="en-US"/>
        </w:rPr>
        <w:t>3b: The IAB-donor-CU1 prepares CHO or HO for</w:t>
      </w:r>
      <w:r w:rsidR="000466EB">
        <w:rPr>
          <w:rFonts w:eastAsia="Times New Roman" w:cs="Arial"/>
          <w:lang w:eastAsia="en-US"/>
        </w:rPr>
        <w:t xml:space="preserve"> the UE and forwards the CHO command or HO command to the UE. CHO is used in case the target cell has different PCI than the source cell, and conventional HO is used in case the PCI has not changed. </w:t>
      </w:r>
    </w:p>
    <w:p w14:paraId="0C63178E" w14:textId="2D775682" w:rsidR="000466EB" w:rsidRDefault="000466EB" w:rsidP="00FF6848">
      <w:pPr>
        <w:pStyle w:val="ListParagraph"/>
        <w:spacing w:before="240"/>
        <w:ind w:left="331" w:hanging="331"/>
        <w:rPr>
          <w:rFonts w:ascii="Arial" w:eastAsia="Times New Roman" w:hAnsi="Arial" w:cs="Arial"/>
          <w:sz w:val="20"/>
          <w:szCs w:val="20"/>
          <w:lang w:val="en-US" w:eastAsia="en-US"/>
        </w:rPr>
      </w:pPr>
      <w:r>
        <w:rPr>
          <w:rFonts w:eastAsia="Times New Roman" w:cs="Arial"/>
          <w:lang w:eastAsia="en-US"/>
        </w:rPr>
        <w:t xml:space="preserve">3c: </w:t>
      </w:r>
      <w:r>
        <w:rPr>
          <w:rFonts w:ascii="Arial" w:eastAsia="Times New Roman" w:hAnsi="Arial" w:cs="Arial"/>
          <w:sz w:val="20"/>
          <w:szCs w:val="20"/>
          <w:lang w:val="en-US" w:eastAsia="en-US"/>
        </w:rPr>
        <w:t>A trigger for the switch of the IAB-DU’s served cells is sent from CU</w:t>
      </w:r>
      <w:r>
        <w:rPr>
          <w:rFonts w:ascii="Arial" w:eastAsia="Times New Roman" w:hAnsi="Arial" w:cs="Arial"/>
          <w:sz w:val="20"/>
          <w:szCs w:val="20"/>
          <w:lang w:val="en-US" w:eastAsia="en-US"/>
        </w:rPr>
        <w:t>1</w:t>
      </w:r>
      <w:r>
        <w:rPr>
          <w:rFonts w:ascii="Arial" w:eastAsia="Times New Roman" w:hAnsi="Arial" w:cs="Arial"/>
          <w:sz w:val="20"/>
          <w:szCs w:val="20"/>
          <w:lang w:val="en-US" w:eastAsia="en-US"/>
        </w:rPr>
        <w:t xml:space="preserve"> to </w:t>
      </w:r>
      <w:r>
        <w:rPr>
          <w:rFonts w:ascii="Arial" w:eastAsia="Times New Roman" w:hAnsi="Arial" w:cs="Arial"/>
          <w:sz w:val="20"/>
          <w:szCs w:val="20"/>
          <w:lang w:val="en-US" w:eastAsia="en-US"/>
        </w:rPr>
        <w:t>the IAB-node</w:t>
      </w:r>
      <w:r>
        <w:rPr>
          <w:rFonts w:ascii="Arial" w:eastAsia="Times New Roman" w:hAnsi="Arial" w:cs="Arial"/>
          <w:sz w:val="20"/>
          <w:szCs w:val="20"/>
          <w:lang w:val="en-US" w:eastAsia="en-US"/>
        </w:rPr>
        <w:t xml:space="preserve"> via </w:t>
      </w:r>
      <w:r>
        <w:rPr>
          <w:rFonts w:ascii="Arial" w:eastAsia="Times New Roman" w:hAnsi="Arial" w:cs="Arial"/>
          <w:sz w:val="20"/>
          <w:szCs w:val="20"/>
          <w:lang w:val="en-US" w:eastAsia="en-US"/>
        </w:rPr>
        <w:t>F1AP</w:t>
      </w:r>
      <w:r>
        <w:rPr>
          <w:rFonts w:ascii="Arial" w:eastAsia="Times New Roman" w:hAnsi="Arial" w:cs="Arial"/>
          <w:sz w:val="20"/>
          <w:szCs w:val="20"/>
          <w:lang w:val="en-US" w:eastAsia="en-US"/>
        </w:rPr>
        <w:t>.</w:t>
      </w:r>
    </w:p>
    <w:p w14:paraId="349ABE87" w14:textId="31C02E40" w:rsidR="000466EB" w:rsidRDefault="000466EB" w:rsidP="00FF6848">
      <w:pPr>
        <w:pStyle w:val="ListParagraph"/>
        <w:spacing w:before="240"/>
        <w:ind w:left="331" w:hanging="331"/>
        <w:jc w:val="both"/>
        <w:rPr>
          <w:rFonts w:ascii="Arial" w:eastAsia="Times New Roman" w:hAnsi="Arial" w:cs="Arial"/>
          <w:sz w:val="20"/>
          <w:szCs w:val="20"/>
          <w:lang w:val="en-US" w:eastAsia="en-US"/>
        </w:rPr>
      </w:pPr>
      <w:r>
        <w:rPr>
          <w:rFonts w:eastAsia="Times New Roman" w:cs="Arial"/>
          <w:lang w:eastAsia="en-US"/>
        </w:rPr>
        <w:t>3</w:t>
      </w:r>
      <w:r>
        <w:rPr>
          <w:rFonts w:eastAsia="Times New Roman" w:cs="Arial"/>
          <w:lang w:val="en-US" w:eastAsia="en-US"/>
        </w:rPr>
        <w:t>d</w:t>
      </w:r>
      <w:r>
        <w:rPr>
          <w:rFonts w:eastAsia="Times New Roman" w:cs="Arial"/>
          <w:lang w:eastAsia="en-US"/>
        </w:rPr>
        <w:t xml:space="preserve">: </w:t>
      </w:r>
      <w:r>
        <w:rPr>
          <w:rFonts w:ascii="Arial" w:eastAsia="Times New Roman" w:hAnsi="Arial" w:cs="Arial"/>
          <w:sz w:val="20"/>
          <w:szCs w:val="20"/>
          <w:lang w:val="en-US" w:eastAsia="en-US"/>
        </w:rPr>
        <w:t>The IAB-DU switches NCI in SIB1 of the served cells</w:t>
      </w:r>
      <w:r>
        <w:rPr>
          <w:rFonts w:ascii="Arial" w:eastAsia="Times New Roman" w:hAnsi="Arial" w:cs="Arial"/>
          <w:sz w:val="20"/>
          <w:szCs w:val="20"/>
          <w:lang w:val="en-US" w:eastAsia="en-US"/>
        </w:rPr>
        <w:t>.</w:t>
      </w:r>
      <w:r>
        <w:rPr>
          <w:rFonts w:ascii="Arial" w:eastAsia="Times New Roman" w:hAnsi="Arial" w:cs="Arial"/>
          <w:sz w:val="20"/>
          <w:szCs w:val="20"/>
          <w:lang w:val="en-US" w:eastAsia="en-US"/>
        </w:rPr>
        <w:t xml:space="preserve"> It also switches PCI </w:t>
      </w:r>
      <w:r w:rsidR="007F6B5C">
        <w:rPr>
          <w:rFonts w:ascii="Arial" w:eastAsia="Times New Roman" w:hAnsi="Arial" w:cs="Arial"/>
          <w:sz w:val="20"/>
          <w:szCs w:val="20"/>
          <w:lang w:val="en-US" w:eastAsia="en-US"/>
        </w:rPr>
        <w:t xml:space="preserve">in case </w:t>
      </w:r>
      <w:r>
        <w:rPr>
          <w:rFonts w:ascii="Arial" w:eastAsia="Times New Roman" w:hAnsi="Arial" w:cs="Arial"/>
          <w:sz w:val="20"/>
          <w:szCs w:val="20"/>
          <w:lang w:val="en-US" w:eastAsia="en-US"/>
        </w:rPr>
        <w:t xml:space="preserve">it has changed. </w:t>
      </w:r>
      <w:r w:rsidR="007F6B5C">
        <w:rPr>
          <w:rFonts w:ascii="Arial" w:eastAsia="Times New Roman" w:hAnsi="Arial" w:cs="Arial"/>
          <w:sz w:val="20"/>
          <w:szCs w:val="20"/>
          <w:lang w:val="en-US" w:eastAsia="en-US"/>
        </w:rPr>
        <w:t>If</w:t>
      </w:r>
      <w:r>
        <w:rPr>
          <w:rFonts w:ascii="Arial" w:eastAsia="Times New Roman" w:hAnsi="Arial" w:cs="Arial"/>
          <w:sz w:val="20"/>
          <w:szCs w:val="20"/>
          <w:lang w:val="en-US" w:eastAsia="en-US"/>
        </w:rPr>
        <w:t xml:space="preserve"> only NCI has changed, the IAB-DU broadcasts a short message to that all UEs can perform a SIB update.</w:t>
      </w:r>
    </w:p>
    <w:p w14:paraId="701E33BC" w14:textId="776A6187" w:rsidR="000466EB" w:rsidRDefault="006B62FA" w:rsidP="00FF6848">
      <w:pPr>
        <w:spacing w:before="240" w:after="0"/>
        <w:ind w:left="331" w:hanging="331"/>
        <w:jc w:val="left"/>
        <w:rPr>
          <w:rFonts w:eastAsia="Times New Roman" w:cs="Arial"/>
          <w:lang w:eastAsia="en-US"/>
        </w:rPr>
      </w:pPr>
      <w:r>
        <w:rPr>
          <w:rFonts w:eastAsia="Times New Roman" w:cs="Arial"/>
          <w:lang w:eastAsia="en-US"/>
        </w:rPr>
        <w:t>3</w:t>
      </w:r>
      <w:r w:rsidR="000466EB">
        <w:rPr>
          <w:rFonts w:eastAsia="Times New Roman" w:cs="Arial"/>
          <w:lang w:eastAsia="en-US"/>
        </w:rPr>
        <w:t>e</w:t>
      </w:r>
      <w:r>
        <w:rPr>
          <w:rFonts w:eastAsia="Times New Roman" w:cs="Arial"/>
          <w:lang w:eastAsia="en-US"/>
        </w:rPr>
        <w:t xml:space="preserve">: </w:t>
      </w:r>
      <w:r w:rsidR="000466EB">
        <w:rPr>
          <w:rFonts w:eastAsia="Times New Roman" w:cs="Arial"/>
          <w:lang w:eastAsia="en-US"/>
        </w:rPr>
        <w:t>The UE executes CHO or HO. The CHO execution is triggered by the PCI change in step 3d. The HO execution is triggered by the reception of the RRCReconfiguration in step 3b. In case of HO, step 3e may occur before step 3d.</w:t>
      </w:r>
    </w:p>
    <w:p w14:paraId="4B71978D" w14:textId="77777777" w:rsidR="000466EB" w:rsidRPr="006B62FA" w:rsidRDefault="006B62FA" w:rsidP="00FF6848">
      <w:pPr>
        <w:spacing w:before="240" w:after="0"/>
        <w:ind w:left="331" w:hanging="331"/>
        <w:jc w:val="left"/>
        <w:rPr>
          <w:rFonts w:eastAsia="Times New Roman" w:cs="Arial"/>
          <w:lang w:eastAsia="en-US"/>
        </w:rPr>
      </w:pPr>
      <w:r>
        <w:rPr>
          <w:rFonts w:eastAsia="Times New Roman" w:cs="Arial"/>
          <w:lang w:eastAsia="en-US"/>
        </w:rPr>
        <w:t>3</w:t>
      </w:r>
      <w:r w:rsidR="000466EB">
        <w:rPr>
          <w:rFonts w:eastAsia="Times New Roman" w:cs="Arial"/>
          <w:lang w:eastAsia="en-US"/>
        </w:rPr>
        <w:t>f</w:t>
      </w:r>
      <w:r>
        <w:rPr>
          <w:rFonts w:eastAsia="Times New Roman" w:cs="Arial"/>
          <w:lang w:eastAsia="en-US"/>
        </w:rPr>
        <w:t xml:space="preserve">: </w:t>
      </w:r>
      <w:r w:rsidR="000466EB">
        <w:rPr>
          <w:rFonts w:eastAsia="Times New Roman" w:cs="Arial"/>
          <w:lang w:eastAsia="en-US"/>
        </w:rPr>
        <w:t xml:space="preserve">The F1AP association between IAB-DU and IAB-donor-CU1 is removed. </w:t>
      </w:r>
      <w:r w:rsidR="000466EB">
        <w:rPr>
          <w:rFonts w:eastAsia="Times New Roman" w:cs="Arial"/>
          <w:lang w:eastAsia="en-US"/>
        </w:rPr>
        <w:t>This step may be initiated by the IAB-donor-CU1 or the IAB-node.</w:t>
      </w:r>
    </w:p>
    <w:p w14:paraId="0290772D" w14:textId="5FCFDBFB" w:rsidR="002656E9" w:rsidRDefault="002656E9" w:rsidP="001368E9">
      <w:pPr>
        <w:spacing w:before="120" w:after="0"/>
        <w:ind w:left="331" w:hanging="331"/>
        <w:jc w:val="left"/>
        <w:rPr>
          <w:rFonts w:eastAsia="Times New Roman" w:cs="Arial"/>
          <w:lang w:eastAsia="en-US"/>
        </w:rPr>
      </w:pPr>
      <w:r>
        <w:rPr>
          <w:rFonts w:eastAsia="Times New Roman" w:cs="Arial"/>
          <w:lang w:eastAsia="en-US"/>
        </w:rPr>
        <w:t xml:space="preserve"> </w:t>
      </w:r>
    </w:p>
    <w:p w14:paraId="01536A53" w14:textId="229FB097" w:rsidR="00D53DC4" w:rsidRDefault="00D53DC4" w:rsidP="00D53DC4">
      <w:pPr>
        <w:jc w:val="left"/>
        <w:rPr>
          <w:rFonts w:cs="Arial"/>
          <w:lang w:val="en-GB"/>
        </w:rPr>
      </w:pPr>
      <w:r>
        <w:rPr>
          <w:rFonts w:cs="Arial"/>
          <w:lang w:val="en-GB"/>
        </w:rPr>
        <w:t xml:space="preserve">The above </w:t>
      </w:r>
      <w:r w:rsidR="00566D67">
        <w:rPr>
          <w:rFonts w:cs="Arial"/>
          <w:lang w:val="en-GB"/>
        </w:rPr>
        <w:t>procedure</w:t>
      </w:r>
      <w:r>
        <w:rPr>
          <w:rFonts w:cs="Arial"/>
          <w:lang w:val="en-GB"/>
        </w:rPr>
        <w:t xml:space="preserve"> shows that IAB-DU migration can be </w:t>
      </w:r>
      <w:r w:rsidR="00566D67">
        <w:rPr>
          <w:rFonts w:cs="Arial"/>
          <w:lang w:val="en-GB"/>
        </w:rPr>
        <w:t>orchestrated</w:t>
      </w:r>
      <w:r>
        <w:rPr>
          <w:rFonts w:cs="Arial"/>
          <w:lang w:val="en-GB"/>
        </w:rPr>
        <w:t xml:space="preserve"> </w:t>
      </w:r>
      <w:r w:rsidR="00566D67">
        <w:rPr>
          <w:rFonts w:cs="Arial"/>
          <w:lang w:val="en-GB"/>
        </w:rPr>
        <w:t xml:space="preserve">by </w:t>
      </w:r>
      <w:r>
        <w:rPr>
          <w:rFonts w:cs="Arial"/>
          <w:lang w:val="en-GB"/>
        </w:rPr>
        <w:t>using a few additional IEs</w:t>
      </w:r>
      <w:r w:rsidR="00566D67">
        <w:rPr>
          <w:rFonts w:cs="Arial"/>
          <w:lang w:val="en-GB"/>
        </w:rPr>
        <w:t>, which can be carried in existing signalling messages</w:t>
      </w:r>
      <w:r>
        <w:rPr>
          <w:rFonts w:cs="Arial"/>
          <w:lang w:val="en-GB"/>
        </w:rPr>
        <w:t>.</w:t>
      </w:r>
    </w:p>
    <w:p w14:paraId="2A788B67" w14:textId="78EFF1C5" w:rsidR="00B91A9D" w:rsidRPr="00CC1EDC" w:rsidRDefault="00D53DC4" w:rsidP="00D53DC4">
      <w:pPr>
        <w:jc w:val="left"/>
        <w:rPr>
          <w:rFonts w:cs="Arial"/>
          <w:b/>
          <w:bCs/>
          <w:lang w:val="en-GB"/>
        </w:rPr>
      </w:pPr>
      <w:r w:rsidRPr="00CC1EDC">
        <w:rPr>
          <w:rFonts w:cs="Arial"/>
          <w:b/>
          <w:bCs/>
          <w:lang w:val="en-GB"/>
        </w:rPr>
        <w:t xml:space="preserve">Observation 1: IAB-DU migration can be </w:t>
      </w:r>
      <w:r w:rsidR="00566D67">
        <w:rPr>
          <w:rFonts w:cs="Arial"/>
          <w:b/>
          <w:bCs/>
          <w:lang w:val="en-GB"/>
        </w:rPr>
        <w:t xml:space="preserve">orchestrated by </w:t>
      </w:r>
      <w:r w:rsidRPr="00CC1EDC">
        <w:rPr>
          <w:rFonts w:cs="Arial"/>
          <w:b/>
          <w:bCs/>
          <w:lang w:val="en-GB"/>
        </w:rPr>
        <w:t xml:space="preserve">using </w:t>
      </w:r>
      <w:r w:rsidR="00566D67">
        <w:rPr>
          <w:rFonts w:cs="Arial"/>
          <w:b/>
          <w:bCs/>
          <w:lang w:val="en-GB"/>
        </w:rPr>
        <w:t xml:space="preserve">a few additional IEs which can be carried in </w:t>
      </w:r>
      <w:r w:rsidRPr="00CC1EDC">
        <w:rPr>
          <w:rFonts w:cs="Arial"/>
          <w:b/>
          <w:bCs/>
          <w:lang w:val="en-GB"/>
        </w:rPr>
        <w:t xml:space="preserve">existing </w:t>
      </w:r>
      <w:r w:rsidR="00566D67">
        <w:rPr>
          <w:rFonts w:cs="Arial"/>
          <w:b/>
          <w:bCs/>
          <w:lang w:val="en-GB"/>
        </w:rPr>
        <w:t>signalling messages</w:t>
      </w:r>
      <w:r w:rsidRPr="00CC1EDC">
        <w:rPr>
          <w:rFonts w:cs="Arial"/>
          <w:b/>
          <w:bCs/>
          <w:lang w:val="en-GB"/>
        </w:rPr>
        <w:t>.</w:t>
      </w:r>
    </w:p>
    <w:p w14:paraId="308AC0FA" w14:textId="432AAA17" w:rsidR="00D53DC4" w:rsidRDefault="00CC1EDC" w:rsidP="00D53DC4">
      <w:pPr>
        <w:jc w:val="left"/>
        <w:rPr>
          <w:rFonts w:cs="Arial"/>
          <w:lang w:val="en-GB"/>
        </w:rPr>
      </w:pPr>
      <w:r>
        <w:rPr>
          <w:rFonts w:cs="Arial"/>
          <w:lang w:val="en-GB"/>
        </w:rPr>
        <w:t xml:space="preserve">IAB-DU migration can further be supported </w:t>
      </w:r>
      <w:r w:rsidR="00C02883">
        <w:rPr>
          <w:rFonts w:cs="Arial"/>
          <w:lang w:val="en-GB"/>
        </w:rPr>
        <w:t>with or without PCI change.</w:t>
      </w:r>
    </w:p>
    <w:p w14:paraId="27881BE2" w14:textId="42303B24" w:rsidR="00CC1EDC" w:rsidRPr="00CC1EDC" w:rsidRDefault="00CC1EDC" w:rsidP="00CC1EDC">
      <w:pPr>
        <w:jc w:val="left"/>
        <w:rPr>
          <w:rFonts w:cs="Arial"/>
          <w:b/>
          <w:bCs/>
          <w:lang w:val="en-GB"/>
        </w:rPr>
      </w:pPr>
      <w:r w:rsidRPr="00CC1EDC">
        <w:rPr>
          <w:rFonts w:cs="Arial"/>
          <w:b/>
          <w:bCs/>
          <w:lang w:val="en-GB"/>
        </w:rPr>
        <w:t xml:space="preserve">Observation 2: IAB-DU migration can be supported </w:t>
      </w:r>
      <w:r w:rsidR="00C02883">
        <w:rPr>
          <w:rFonts w:cs="Arial"/>
          <w:b/>
          <w:bCs/>
          <w:lang w:val="en-GB"/>
        </w:rPr>
        <w:t>with or without PCI change</w:t>
      </w:r>
      <w:r w:rsidRPr="00CC1EDC">
        <w:rPr>
          <w:rFonts w:cs="Arial"/>
          <w:b/>
          <w:bCs/>
          <w:lang w:val="en-GB"/>
        </w:rPr>
        <w:t>.</w:t>
      </w:r>
    </w:p>
    <w:p w14:paraId="41490909" w14:textId="60430B29" w:rsidR="00CC1EDC" w:rsidRDefault="00CC1EDC" w:rsidP="00CC1EDC">
      <w:pPr>
        <w:jc w:val="left"/>
        <w:rPr>
          <w:rFonts w:cs="Arial"/>
          <w:lang w:val="en-GB"/>
        </w:rPr>
      </w:pPr>
      <w:r>
        <w:rPr>
          <w:rFonts w:cs="Arial"/>
          <w:lang w:val="en-GB"/>
        </w:rPr>
        <w:t xml:space="preserve">It is further possible to support scenarios, where </w:t>
      </w:r>
      <w:r w:rsidR="00885053">
        <w:rPr>
          <w:rFonts w:cs="Arial"/>
          <w:lang w:val="en-GB"/>
        </w:rPr>
        <w:t>F1-C establishment and/or the cell switch is initiated</w:t>
      </w:r>
      <w:r>
        <w:rPr>
          <w:rFonts w:cs="Arial"/>
          <w:lang w:val="en-GB"/>
        </w:rPr>
        <w:t xml:space="preserve"> by the source donor, the target donor or by the </w:t>
      </w:r>
      <w:r w:rsidR="00DE0333">
        <w:rPr>
          <w:rFonts w:cs="Arial"/>
          <w:lang w:val="en-GB"/>
        </w:rPr>
        <w:t xml:space="preserve">migrating </w:t>
      </w:r>
      <w:r>
        <w:rPr>
          <w:rFonts w:cs="Arial"/>
          <w:lang w:val="en-GB"/>
        </w:rPr>
        <w:t>IAB-node itself.</w:t>
      </w:r>
    </w:p>
    <w:p w14:paraId="29EC72B7" w14:textId="7801AE5F" w:rsidR="00CC1EDC" w:rsidRPr="00CC1EDC" w:rsidRDefault="00CC1EDC" w:rsidP="00CC1EDC">
      <w:pPr>
        <w:jc w:val="left"/>
        <w:rPr>
          <w:rFonts w:cs="Arial"/>
          <w:b/>
          <w:bCs/>
          <w:lang w:val="en-GB"/>
        </w:rPr>
      </w:pPr>
      <w:r w:rsidRPr="00CC1EDC">
        <w:rPr>
          <w:rFonts w:cs="Arial"/>
          <w:b/>
          <w:bCs/>
          <w:lang w:val="en-GB"/>
        </w:rPr>
        <w:t xml:space="preserve">Observation </w:t>
      </w:r>
      <w:r>
        <w:rPr>
          <w:rFonts w:cs="Arial"/>
          <w:b/>
          <w:bCs/>
          <w:lang w:val="en-GB"/>
        </w:rPr>
        <w:t>3</w:t>
      </w:r>
      <w:r w:rsidRPr="00CC1EDC">
        <w:rPr>
          <w:rFonts w:cs="Arial"/>
          <w:b/>
          <w:bCs/>
          <w:lang w:val="en-GB"/>
        </w:rPr>
        <w:t xml:space="preserve">: </w:t>
      </w:r>
      <w:r w:rsidR="00885053">
        <w:rPr>
          <w:rFonts w:cs="Arial"/>
          <w:b/>
          <w:bCs/>
          <w:lang w:val="en-GB"/>
        </w:rPr>
        <w:t xml:space="preserve">F1-C establishment and cell switch can </w:t>
      </w:r>
      <w:r>
        <w:rPr>
          <w:rFonts w:cs="Arial"/>
          <w:b/>
          <w:bCs/>
          <w:lang w:val="en-GB"/>
        </w:rPr>
        <w:t>be initiated by the source donor, the target donor or by the IAB-node itself.</w:t>
      </w:r>
    </w:p>
    <w:p w14:paraId="50905D08" w14:textId="1DD7AA78" w:rsidR="007E3AF0" w:rsidRDefault="009A5172" w:rsidP="009A5172">
      <w:pPr>
        <w:jc w:val="left"/>
        <w:rPr>
          <w:rFonts w:cs="Arial"/>
          <w:lang w:val="en-GB"/>
        </w:rPr>
      </w:pPr>
      <w:r>
        <w:rPr>
          <w:rFonts w:cs="Arial"/>
          <w:lang w:val="en-GB"/>
        </w:rPr>
        <w:t xml:space="preserve">One important topic relates to the reconfiguration of PCI/NCI for </w:t>
      </w:r>
      <w:r w:rsidR="007E3AF0">
        <w:rPr>
          <w:rFonts w:cs="Arial"/>
          <w:lang w:val="en-GB"/>
        </w:rPr>
        <w:t>the served</w:t>
      </w:r>
      <w:r>
        <w:rPr>
          <w:rFonts w:cs="Arial"/>
          <w:lang w:val="en-GB"/>
        </w:rPr>
        <w:t xml:space="preserve"> cell. Typically, PCI/NCI is configured via OAM. </w:t>
      </w:r>
      <w:r w:rsidR="00566D67">
        <w:rPr>
          <w:rFonts w:cs="Arial"/>
          <w:lang w:val="en-GB"/>
        </w:rPr>
        <w:t>It is</w:t>
      </w:r>
      <w:r w:rsidR="007E3AF0">
        <w:rPr>
          <w:rFonts w:cs="Arial"/>
          <w:lang w:val="en-GB"/>
        </w:rPr>
        <w:t xml:space="preserve"> already possible to reconfigure</w:t>
      </w:r>
      <w:r>
        <w:rPr>
          <w:rFonts w:cs="Arial"/>
          <w:lang w:val="en-GB"/>
        </w:rPr>
        <w:t xml:space="preserve"> PCI via F1AP. </w:t>
      </w:r>
      <w:r w:rsidR="007E3AF0">
        <w:rPr>
          <w:rFonts w:cs="Arial"/>
          <w:lang w:val="en-GB"/>
        </w:rPr>
        <w:t>Such F1AP-based reconfiguration could easily be extended to NCI.</w:t>
      </w:r>
      <w:r>
        <w:rPr>
          <w:rFonts w:cs="Arial"/>
          <w:lang w:val="en-GB"/>
        </w:rPr>
        <w:t xml:space="preserve"> </w:t>
      </w:r>
      <w:r w:rsidR="007E3AF0">
        <w:rPr>
          <w:rFonts w:cs="Arial"/>
          <w:lang w:val="en-GB"/>
        </w:rPr>
        <w:t>Alternatively, PCI/NCI configuration can be left up to OAM. In this case, the cell is OAM-configured with a separate PCI/NCI pair for each CU it may connect to, and the IAB-DU autonomously switches the cell’s PCI/NCI based on a CU-specific identifier such as the gNB-ID contained in the parent-node’s SIB1.</w:t>
      </w:r>
    </w:p>
    <w:p w14:paraId="4D4DDEE3" w14:textId="10587D2C" w:rsidR="007E3AF0" w:rsidRPr="00CC1EDC" w:rsidRDefault="007E3AF0" w:rsidP="007E3AF0">
      <w:pPr>
        <w:jc w:val="left"/>
        <w:rPr>
          <w:rFonts w:cs="Arial"/>
          <w:b/>
          <w:bCs/>
          <w:lang w:val="en-GB"/>
        </w:rPr>
      </w:pPr>
      <w:r w:rsidRPr="00CC1EDC">
        <w:rPr>
          <w:rFonts w:cs="Arial"/>
          <w:b/>
          <w:bCs/>
          <w:lang w:val="en-GB"/>
        </w:rPr>
        <w:t xml:space="preserve">Observation </w:t>
      </w:r>
      <w:r>
        <w:rPr>
          <w:rFonts w:cs="Arial"/>
          <w:b/>
          <w:bCs/>
          <w:lang w:val="en-GB"/>
        </w:rPr>
        <w:t>4</w:t>
      </w:r>
      <w:r w:rsidRPr="00CC1EDC">
        <w:rPr>
          <w:rFonts w:cs="Arial"/>
          <w:b/>
          <w:bCs/>
          <w:lang w:val="en-GB"/>
        </w:rPr>
        <w:t xml:space="preserve">: </w:t>
      </w:r>
      <w:r w:rsidR="00E7702B">
        <w:rPr>
          <w:rFonts w:cs="Arial"/>
          <w:b/>
          <w:bCs/>
          <w:lang w:val="en-GB"/>
        </w:rPr>
        <w:t>NCI</w:t>
      </w:r>
      <w:r>
        <w:rPr>
          <w:rFonts w:cs="Arial"/>
          <w:b/>
          <w:bCs/>
          <w:lang w:val="en-GB"/>
        </w:rPr>
        <w:t xml:space="preserve"> and </w:t>
      </w:r>
      <w:r w:rsidR="00E7702B">
        <w:rPr>
          <w:rFonts w:cs="Arial"/>
          <w:b/>
          <w:bCs/>
          <w:lang w:val="en-GB"/>
        </w:rPr>
        <w:t>PCI</w:t>
      </w:r>
      <w:r>
        <w:rPr>
          <w:rFonts w:cs="Arial"/>
          <w:b/>
          <w:bCs/>
          <w:lang w:val="en-GB"/>
        </w:rPr>
        <w:t xml:space="preserve"> changes can be based on OAM configuration or CU configuration.</w:t>
      </w:r>
    </w:p>
    <w:p w14:paraId="590F3191" w14:textId="2B074289" w:rsidR="009A5172" w:rsidRDefault="007E3AF0" w:rsidP="009A5172">
      <w:pPr>
        <w:jc w:val="left"/>
        <w:rPr>
          <w:rFonts w:cs="Arial"/>
          <w:lang w:val="en-GB"/>
        </w:rPr>
      </w:pPr>
      <w:r>
        <w:rPr>
          <w:rFonts w:cs="Arial"/>
          <w:lang w:val="en-GB"/>
        </w:rPr>
        <w:t xml:space="preserve"> </w:t>
      </w:r>
    </w:p>
    <w:p w14:paraId="72C3E408" w14:textId="41DDF72F" w:rsidR="00CC1EDC" w:rsidRDefault="00657B76" w:rsidP="00D53DC4">
      <w:pPr>
        <w:jc w:val="left"/>
        <w:rPr>
          <w:rFonts w:cs="Arial"/>
          <w:lang w:val="en-GB"/>
        </w:rPr>
      </w:pPr>
      <w:r>
        <w:rPr>
          <w:rFonts w:cs="Arial"/>
          <w:lang w:val="en-GB"/>
        </w:rPr>
        <w:t>Based on these observations, the following is proposed:</w:t>
      </w:r>
    </w:p>
    <w:p w14:paraId="0FA39E68" w14:textId="77CE345A" w:rsidR="00E73111" w:rsidRPr="00E73111" w:rsidRDefault="00E73111" w:rsidP="00E73111">
      <w:pPr>
        <w:jc w:val="left"/>
        <w:rPr>
          <w:rFonts w:cs="Arial"/>
          <w:b/>
          <w:bCs/>
          <w:lang w:val="en-GB"/>
        </w:rPr>
      </w:pPr>
      <w:r w:rsidRPr="00E73111">
        <w:rPr>
          <w:rFonts w:cs="Arial"/>
          <w:b/>
          <w:bCs/>
          <w:lang w:val="en-GB"/>
        </w:rPr>
        <w:t xml:space="preserve">Proposal </w:t>
      </w:r>
      <w:r w:rsidR="00DF3BAA">
        <w:rPr>
          <w:rFonts w:cs="Arial"/>
          <w:b/>
          <w:bCs/>
          <w:lang w:val="en-GB"/>
        </w:rPr>
        <w:t>2</w:t>
      </w:r>
      <w:r w:rsidRPr="00E73111">
        <w:rPr>
          <w:rFonts w:cs="Arial"/>
          <w:b/>
          <w:bCs/>
          <w:lang w:val="en-GB"/>
        </w:rPr>
        <w:t xml:space="preserve">: RAN3 to </w:t>
      </w:r>
      <w:r w:rsidR="00CD05E9">
        <w:rPr>
          <w:rFonts w:cs="Arial"/>
          <w:b/>
          <w:bCs/>
          <w:lang w:val="en-GB"/>
        </w:rPr>
        <w:t>support</w:t>
      </w:r>
      <w:r w:rsidRPr="00E73111">
        <w:rPr>
          <w:rFonts w:cs="Arial"/>
          <w:b/>
          <w:bCs/>
          <w:lang w:val="en-GB"/>
        </w:rPr>
        <w:t xml:space="preserve"> IAB-DU migration with </w:t>
      </w:r>
      <w:r w:rsidR="00E64DAC">
        <w:rPr>
          <w:rFonts w:cs="Arial"/>
          <w:b/>
          <w:bCs/>
          <w:lang w:val="en-GB"/>
        </w:rPr>
        <w:t xml:space="preserve">and without </w:t>
      </w:r>
      <w:r w:rsidRPr="00E73111">
        <w:rPr>
          <w:rFonts w:cs="Arial"/>
          <w:b/>
          <w:bCs/>
          <w:lang w:val="en-GB"/>
        </w:rPr>
        <w:t>PCI change.</w:t>
      </w:r>
    </w:p>
    <w:p w14:paraId="71C59499" w14:textId="7892EB21" w:rsidR="00406A57" w:rsidRPr="00E73111" w:rsidRDefault="00406A57" w:rsidP="00406A57">
      <w:pPr>
        <w:jc w:val="left"/>
        <w:rPr>
          <w:rFonts w:cs="Arial"/>
          <w:b/>
          <w:bCs/>
          <w:lang w:val="en-GB"/>
        </w:rPr>
      </w:pPr>
      <w:r w:rsidRPr="00E73111">
        <w:rPr>
          <w:rFonts w:cs="Arial"/>
          <w:b/>
          <w:bCs/>
          <w:lang w:val="en-GB"/>
        </w:rPr>
        <w:t xml:space="preserve">Proposal </w:t>
      </w:r>
      <w:r w:rsidR="00DF3BAA">
        <w:rPr>
          <w:rFonts w:cs="Arial"/>
          <w:b/>
          <w:bCs/>
          <w:lang w:val="en-GB"/>
        </w:rPr>
        <w:t>3</w:t>
      </w:r>
      <w:r w:rsidRPr="00E73111">
        <w:rPr>
          <w:rFonts w:cs="Arial"/>
          <w:b/>
          <w:bCs/>
          <w:lang w:val="en-GB"/>
        </w:rPr>
        <w:t xml:space="preserve">: RAN3 to discuss initiation of IAB-DU migration by </w:t>
      </w:r>
      <w:r>
        <w:rPr>
          <w:rFonts w:cs="Arial"/>
          <w:b/>
          <w:bCs/>
          <w:lang w:val="en-GB"/>
        </w:rPr>
        <w:t xml:space="preserve">the </w:t>
      </w:r>
      <w:r w:rsidRPr="00E73111">
        <w:rPr>
          <w:rFonts w:cs="Arial"/>
          <w:b/>
          <w:bCs/>
          <w:lang w:val="en-GB"/>
        </w:rPr>
        <w:t xml:space="preserve">source donor, </w:t>
      </w:r>
      <w:r>
        <w:rPr>
          <w:rFonts w:cs="Arial"/>
          <w:b/>
          <w:bCs/>
          <w:lang w:val="en-GB"/>
        </w:rPr>
        <w:t xml:space="preserve">by the </w:t>
      </w:r>
      <w:r w:rsidRPr="00E73111">
        <w:rPr>
          <w:rFonts w:cs="Arial"/>
          <w:b/>
          <w:bCs/>
          <w:lang w:val="en-GB"/>
        </w:rPr>
        <w:t xml:space="preserve">target donor </w:t>
      </w:r>
      <w:r>
        <w:rPr>
          <w:rFonts w:cs="Arial"/>
          <w:b/>
          <w:bCs/>
          <w:lang w:val="en-GB"/>
        </w:rPr>
        <w:t>and</w:t>
      </w:r>
      <w:r w:rsidRPr="00E73111">
        <w:rPr>
          <w:rFonts w:cs="Arial"/>
          <w:b/>
          <w:bCs/>
          <w:lang w:val="en-GB"/>
        </w:rPr>
        <w:t xml:space="preserve"> </w:t>
      </w:r>
      <w:r>
        <w:rPr>
          <w:rFonts w:cs="Arial"/>
          <w:b/>
          <w:bCs/>
          <w:lang w:val="en-GB"/>
        </w:rPr>
        <w:t xml:space="preserve">by </w:t>
      </w:r>
      <w:r w:rsidRPr="00E73111">
        <w:rPr>
          <w:rFonts w:cs="Arial"/>
          <w:b/>
          <w:bCs/>
          <w:lang w:val="en-GB"/>
        </w:rPr>
        <w:t>the migrating IAB-node.</w:t>
      </w:r>
    </w:p>
    <w:p w14:paraId="3A176ABA" w14:textId="77777777" w:rsidR="00657B76" w:rsidRDefault="00657B76" w:rsidP="00D53DC4">
      <w:pPr>
        <w:jc w:val="left"/>
        <w:rPr>
          <w:rFonts w:cs="Arial"/>
          <w:lang w:val="en-GB"/>
        </w:rPr>
      </w:pPr>
      <w:r>
        <w:rPr>
          <w:rFonts w:cs="Arial"/>
          <w:lang w:val="en-GB"/>
        </w:rPr>
        <w:lastRenderedPageBreak/>
        <w:t>IAB-DU migration without PCI change should be revisited by RAN2.</w:t>
      </w:r>
    </w:p>
    <w:p w14:paraId="349B057E" w14:textId="0EDADF1B" w:rsidR="00657B76" w:rsidRDefault="00657B76" w:rsidP="00D53DC4">
      <w:pPr>
        <w:jc w:val="left"/>
        <w:rPr>
          <w:rFonts w:cs="Arial"/>
          <w:b/>
          <w:bCs/>
          <w:lang w:val="en-GB"/>
        </w:rPr>
      </w:pPr>
      <w:r w:rsidRPr="00657B76">
        <w:rPr>
          <w:rFonts w:cs="Arial"/>
          <w:b/>
          <w:bCs/>
          <w:lang w:val="en-GB"/>
        </w:rPr>
        <w:t xml:space="preserve">Proposal </w:t>
      </w:r>
      <w:r w:rsidR="00DF3BAA">
        <w:rPr>
          <w:rFonts w:cs="Arial"/>
          <w:b/>
          <w:bCs/>
          <w:lang w:val="en-GB"/>
        </w:rPr>
        <w:t>4</w:t>
      </w:r>
      <w:r w:rsidRPr="00657B76">
        <w:rPr>
          <w:rFonts w:cs="Arial"/>
          <w:b/>
          <w:bCs/>
          <w:lang w:val="en-GB"/>
        </w:rPr>
        <w:t>: RAN2 to be liaised on IAB-DU migration without PCI change.</w:t>
      </w:r>
    </w:p>
    <w:p w14:paraId="58FE4153" w14:textId="77777777" w:rsidR="00657B76" w:rsidRDefault="00657B76" w:rsidP="00D53DC4">
      <w:pPr>
        <w:jc w:val="left"/>
        <w:rPr>
          <w:rFonts w:cs="Arial"/>
          <w:lang w:val="en-GB"/>
        </w:rPr>
      </w:pPr>
      <w:r>
        <w:rPr>
          <w:rFonts w:cs="Arial"/>
          <w:lang w:val="en-GB"/>
        </w:rPr>
        <w:t>The configuration of the new NCI values needs to be discussed. The following options may be considered:</w:t>
      </w:r>
    </w:p>
    <w:p w14:paraId="1A4FE8B2" w14:textId="0DDDDDE0" w:rsidR="001F29A1" w:rsidRPr="001F29A1" w:rsidRDefault="001F29A1" w:rsidP="001F29A1">
      <w:pPr>
        <w:jc w:val="left"/>
        <w:rPr>
          <w:rFonts w:cs="Arial"/>
          <w:b/>
          <w:bCs/>
          <w:lang w:val="en-GB"/>
        </w:rPr>
      </w:pPr>
      <w:r w:rsidRPr="001F29A1">
        <w:rPr>
          <w:rFonts w:cs="Arial"/>
          <w:b/>
          <w:bCs/>
          <w:lang w:val="en-GB"/>
        </w:rPr>
        <w:t xml:space="preserve">Proposal </w:t>
      </w:r>
      <w:r w:rsidR="00DF3BAA">
        <w:rPr>
          <w:rFonts w:cs="Arial"/>
          <w:b/>
          <w:bCs/>
          <w:lang w:val="en-GB"/>
        </w:rPr>
        <w:t>5</w:t>
      </w:r>
      <w:r w:rsidRPr="001F29A1">
        <w:rPr>
          <w:rFonts w:cs="Arial"/>
          <w:b/>
          <w:bCs/>
          <w:lang w:val="en-GB"/>
        </w:rPr>
        <w:t xml:space="preserve">: RAN3 to discuss NCI </w:t>
      </w:r>
      <w:r w:rsidR="00E7702B">
        <w:rPr>
          <w:rFonts w:cs="Arial"/>
          <w:b/>
          <w:bCs/>
          <w:lang w:val="en-GB"/>
        </w:rPr>
        <w:t xml:space="preserve">and PCI </w:t>
      </w:r>
      <w:r w:rsidRPr="001F29A1">
        <w:rPr>
          <w:rFonts w:cs="Arial"/>
          <w:b/>
          <w:bCs/>
          <w:lang w:val="en-GB"/>
        </w:rPr>
        <w:t xml:space="preserve">configuration via OAM </w:t>
      </w:r>
      <w:r w:rsidR="002174CF">
        <w:rPr>
          <w:rFonts w:cs="Arial"/>
          <w:b/>
          <w:bCs/>
          <w:lang w:val="en-GB"/>
        </w:rPr>
        <w:t>and/</w:t>
      </w:r>
      <w:r w:rsidRPr="001F29A1">
        <w:rPr>
          <w:rFonts w:cs="Arial"/>
          <w:b/>
          <w:bCs/>
          <w:lang w:val="en-GB"/>
        </w:rPr>
        <w:t>or via CU.</w:t>
      </w:r>
    </w:p>
    <w:p w14:paraId="1032186B" w14:textId="77777777" w:rsidR="001F29A1" w:rsidRDefault="001F29A1" w:rsidP="001F29A1">
      <w:pPr>
        <w:ind w:left="288"/>
        <w:jc w:val="left"/>
        <w:rPr>
          <w:rFonts w:cs="Arial"/>
          <w:lang w:val="en-GB"/>
        </w:rPr>
      </w:pPr>
    </w:p>
    <w:p w14:paraId="7C41A06D" w14:textId="7C666206" w:rsidR="001F29A1" w:rsidRDefault="001F29A1" w:rsidP="001F29A1">
      <w:pPr>
        <w:pStyle w:val="Heading1"/>
        <w:rPr>
          <w:rFonts w:eastAsia="SimSun" w:cs="Arial"/>
          <w:lang w:val="en-US"/>
        </w:rPr>
      </w:pPr>
      <w:r>
        <w:rPr>
          <w:rFonts w:eastAsia="SimSun" w:cs="Arial"/>
          <w:lang w:val="en-US"/>
        </w:rPr>
        <w:t>Conclusion</w:t>
      </w:r>
    </w:p>
    <w:p w14:paraId="1FE98AF9" w14:textId="5366D788" w:rsidR="00E73111" w:rsidRPr="00042FB9" w:rsidRDefault="00E73111" w:rsidP="00E73111">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This paper discusse</w:t>
      </w:r>
      <w:r>
        <w:rPr>
          <w:rFonts w:ascii="Arial" w:eastAsia="Times New Roman" w:hAnsi="Arial" w:cs="Arial"/>
          <w:sz w:val="20"/>
          <w:szCs w:val="20"/>
          <w:lang w:val="en-US" w:eastAsia="en-US"/>
        </w:rPr>
        <w:t>d</w:t>
      </w:r>
      <w:r w:rsidRPr="00042FB9">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stage-2 procedures for inter-donor migration of the IAB-DU</w:t>
      </w:r>
      <w:r w:rsidRPr="00042FB9">
        <w:rPr>
          <w:rFonts w:ascii="Arial" w:eastAsia="Times New Roman" w:hAnsi="Arial" w:cs="Arial"/>
          <w:sz w:val="20"/>
          <w:szCs w:val="20"/>
          <w:lang w:val="en-US" w:eastAsia="en-US"/>
        </w:rPr>
        <w:t>.</w:t>
      </w:r>
      <w:r>
        <w:rPr>
          <w:rFonts w:ascii="Arial" w:eastAsia="Times New Roman" w:hAnsi="Arial" w:cs="Arial"/>
          <w:sz w:val="20"/>
          <w:szCs w:val="20"/>
          <w:lang w:val="en-US" w:eastAsia="en-US"/>
        </w:rPr>
        <w:t xml:space="preserve"> The following observations and proposals have been made:</w:t>
      </w:r>
    </w:p>
    <w:p w14:paraId="75FC6ADB" w14:textId="77777777" w:rsidR="00DF3BAA" w:rsidRPr="00CC1EDC" w:rsidRDefault="00DF3BAA" w:rsidP="00DF3BAA">
      <w:pPr>
        <w:jc w:val="left"/>
        <w:rPr>
          <w:rFonts w:cs="Arial"/>
          <w:b/>
          <w:bCs/>
          <w:lang w:val="en-GB"/>
        </w:rPr>
      </w:pPr>
      <w:r w:rsidRPr="00CC1EDC">
        <w:rPr>
          <w:rFonts w:cs="Arial"/>
          <w:b/>
          <w:bCs/>
          <w:lang w:val="en-GB"/>
        </w:rPr>
        <w:t xml:space="preserve">Observation 1: IAB-DU migration can be </w:t>
      </w:r>
      <w:r>
        <w:rPr>
          <w:rFonts w:cs="Arial"/>
          <w:b/>
          <w:bCs/>
          <w:lang w:val="en-GB"/>
        </w:rPr>
        <w:t xml:space="preserve">orchestrated by </w:t>
      </w:r>
      <w:r w:rsidRPr="00CC1EDC">
        <w:rPr>
          <w:rFonts w:cs="Arial"/>
          <w:b/>
          <w:bCs/>
          <w:lang w:val="en-GB"/>
        </w:rPr>
        <w:t xml:space="preserve">using </w:t>
      </w:r>
      <w:r>
        <w:rPr>
          <w:rFonts w:cs="Arial"/>
          <w:b/>
          <w:bCs/>
          <w:lang w:val="en-GB"/>
        </w:rPr>
        <w:t xml:space="preserve">a few additional IEs which can be carried in </w:t>
      </w:r>
      <w:r w:rsidRPr="00CC1EDC">
        <w:rPr>
          <w:rFonts w:cs="Arial"/>
          <w:b/>
          <w:bCs/>
          <w:lang w:val="en-GB"/>
        </w:rPr>
        <w:t xml:space="preserve">existing </w:t>
      </w:r>
      <w:r>
        <w:rPr>
          <w:rFonts w:cs="Arial"/>
          <w:b/>
          <w:bCs/>
          <w:lang w:val="en-GB"/>
        </w:rPr>
        <w:t>signalling messages</w:t>
      </w:r>
      <w:r w:rsidRPr="00CC1EDC">
        <w:rPr>
          <w:rFonts w:cs="Arial"/>
          <w:b/>
          <w:bCs/>
          <w:lang w:val="en-GB"/>
        </w:rPr>
        <w:t>.</w:t>
      </w:r>
    </w:p>
    <w:p w14:paraId="5ADEB63E" w14:textId="77777777" w:rsidR="00DF3BAA" w:rsidRPr="00CC1EDC" w:rsidRDefault="00DF3BAA" w:rsidP="00DF3BAA">
      <w:pPr>
        <w:jc w:val="left"/>
        <w:rPr>
          <w:rFonts w:cs="Arial"/>
          <w:b/>
          <w:bCs/>
          <w:lang w:val="en-GB"/>
        </w:rPr>
      </w:pPr>
      <w:r w:rsidRPr="00CC1EDC">
        <w:rPr>
          <w:rFonts w:cs="Arial"/>
          <w:b/>
          <w:bCs/>
          <w:lang w:val="en-GB"/>
        </w:rPr>
        <w:t xml:space="preserve">Observation 2: IAB-DU migration can be supported </w:t>
      </w:r>
      <w:r>
        <w:rPr>
          <w:rFonts w:cs="Arial"/>
          <w:b/>
          <w:bCs/>
          <w:lang w:val="en-GB"/>
        </w:rPr>
        <w:t>with or without PCI change</w:t>
      </w:r>
      <w:r w:rsidRPr="00CC1EDC">
        <w:rPr>
          <w:rFonts w:cs="Arial"/>
          <w:b/>
          <w:bCs/>
          <w:lang w:val="en-GB"/>
        </w:rPr>
        <w:t>.</w:t>
      </w:r>
    </w:p>
    <w:p w14:paraId="4AF238DF" w14:textId="77777777" w:rsidR="00DF3BAA" w:rsidRPr="00CC1EDC" w:rsidRDefault="00DF3BAA" w:rsidP="00DF3BAA">
      <w:pPr>
        <w:jc w:val="left"/>
        <w:rPr>
          <w:rFonts w:cs="Arial"/>
          <w:b/>
          <w:bCs/>
          <w:lang w:val="en-GB"/>
        </w:rPr>
      </w:pPr>
      <w:r w:rsidRPr="00CC1EDC">
        <w:rPr>
          <w:rFonts w:cs="Arial"/>
          <w:b/>
          <w:bCs/>
          <w:lang w:val="en-GB"/>
        </w:rPr>
        <w:t xml:space="preserve">Observation </w:t>
      </w:r>
      <w:r>
        <w:rPr>
          <w:rFonts w:cs="Arial"/>
          <w:b/>
          <w:bCs/>
          <w:lang w:val="en-GB"/>
        </w:rPr>
        <w:t>3</w:t>
      </w:r>
      <w:r w:rsidRPr="00CC1EDC">
        <w:rPr>
          <w:rFonts w:cs="Arial"/>
          <w:b/>
          <w:bCs/>
          <w:lang w:val="en-GB"/>
        </w:rPr>
        <w:t xml:space="preserve">: </w:t>
      </w:r>
      <w:r>
        <w:rPr>
          <w:rFonts w:cs="Arial"/>
          <w:b/>
          <w:bCs/>
          <w:lang w:val="en-GB"/>
        </w:rPr>
        <w:t>F1-C establishment and cell switch can be initiated by the source donor, the target donor or by the IAB-node itself.</w:t>
      </w:r>
    </w:p>
    <w:p w14:paraId="4BAE7379" w14:textId="77777777" w:rsidR="00DF3BAA" w:rsidRPr="00CC1EDC" w:rsidRDefault="00DF3BAA" w:rsidP="00DF3BAA">
      <w:pPr>
        <w:jc w:val="left"/>
        <w:rPr>
          <w:rFonts w:cs="Arial"/>
          <w:b/>
          <w:bCs/>
          <w:lang w:val="en-GB"/>
        </w:rPr>
      </w:pPr>
      <w:r w:rsidRPr="00CC1EDC">
        <w:rPr>
          <w:rFonts w:cs="Arial"/>
          <w:b/>
          <w:bCs/>
          <w:lang w:val="en-GB"/>
        </w:rPr>
        <w:t xml:space="preserve">Observation </w:t>
      </w:r>
      <w:r>
        <w:rPr>
          <w:rFonts w:cs="Arial"/>
          <w:b/>
          <w:bCs/>
          <w:lang w:val="en-GB"/>
        </w:rPr>
        <w:t>4</w:t>
      </w:r>
      <w:r w:rsidRPr="00CC1EDC">
        <w:rPr>
          <w:rFonts w:cs="Arial"/>
          <w:b/>
          <w:bCs/>
          <w:lang w:val="en-GB"/>
        </w:rPr>
        <w:t xml:space="preserve">: </w:t>
      </w:r>
      <w:r>
        <w:rPr>
          <w:rFonts w:cs="Arial"/>
          <w:b/>
          <w:bCs/>
          <w:lang w:val="en-GB"/>
        </w:rPr>
        <w:t>NCI and PCI changes can be based on OAM configuration or CU configuration.</w:t>
      </w:r>
    </w:p>
    <w:p w14:paraId="235FFF7D" w14:textId="77777777" w:rsidR="00DF3BAA" w:rsidRDefault="00DF3BAA" w:rsidP="00DF3BAA">
      <w:pPr>
        <w:jc w:val="left"/>
        <w:rPr>
          <w:b/>
          <w:bCs/>
        </w:rPr>
      </w:pPr>
    </w:p>
    <w:p w14:paraId="57149A6E" w14:textId="04FE1B0A" w:rsidR="00DF3BAA" w:rsidRPr="00234F31" w:rsidRDefault="00DF3BAA" w:rsidP="00DF3BAA">
      <w:pPr>
        <w:jc w:val="left"/>
        <w:rPr>
          <w:b/>
          <w:bCs/>
        </w:rPr>
      </w:pPr>
      <w:r w:rsidRPr="00234F31">
        <w:rPr>
          <w:b/>
          <w:bCs/>
        </w:rPr>
        <w:t>Proposal</w:t>
      </w:r>
      <w:r>
        <w:rPr>
          <w:b/>
          <w:bCs/>
        </w:rPr>
        <w:t xml:space="preserve"> 1</w:t>
      </w:r>
      <w:r w:rsidRPr="00234F31">
        <w:rPr>
          <w:b/>
          <w:bCs/>
        </w:rPr>
        <w:t xml:space="preserve">: </w:t>
      </w:r>
      <w:r>
        <w:rPr>
          <w:b/>
          <w:bCs/>
        </w:rPr>
        <w:t>The orchestration o</w:t>
      </w:r>
      <w:r w:rsidRPr="00234F31">
        <w:rPr>
          <w:b/>
          <w:bCs/>
        </w:rPr>
        <w:t xml:space="preserve">f inter-donor </w:t>
      </w:r>
      <w:r>
        <w:rPr>
          <w:b/>
          <w:bCs/>
        </w:rPr>
        <w:t xml:space="preserve">topology adaptation </w:t>
      </w:r>
      <w:r w:rsidRPr="00234F31">
        <w:rPr>
          <w:b/>
          <w:bCs/>
        </w:rPr>
        <w:t>procedure</w:t>
      </w:r>
      <w:r>
        <w:rPr>
          <w:b/>
          <w:bCs/>
        </w:rPr>
        <w:t>s</w:t>
      </w:r>
      <w:r w:rsidRPr="00234F31">
        <w:rPr>
          <w:b/>
          <w:bCs/>
        </w:rPr>
        <w:t xml:space="preserve">, i.e., IAB-node migration, inter-donor redundancy and/or inter-donor CP-UP separation and </w:t>
      </w:r>
      <w:r>
        <w:rPr>
          <w:b/>
          <w:bCs/>
        </w:rPr>
        <w:t xml:space="preserve">respective </w:t>
      </w:r>
      <w:r w:rsidRPr="00234F31">
        <w:rPr>
          <w:b/>
          <w:bCs/>
        </w:rPr>
        <w:t>sub-options to be based on OAM. Enhancements to SON are FFS.</w:t>
      </w:r>
    </w:p>
    <w:p w14:paraId="1AE71692" w14:textId="77777777" w:rsidR="00DF3BAA" w:rsidRPr="00E73111" w:rsidRDefault="00DF3BAA" w:rsidP="00DF3BAA">
      <w:pPr>
        <w:jc w:val="left"/>
        <w:rPr>
          <w:rFonts w:cs="Arial"/>
          <w:b/>
          <w:bCs/>
          <w:lang w:val="en-GB"/>
        </w:rPr>
      </w:pPr>
      <w:r w:rsidRPr="00E73111">
        <w:rPr>
          <w:rFonts w:cs="Arial"/>
          <w:b/>
          <w:bCs/>
          <w:lang w:val="en-GB"/>
        </w:rPr>
        <w:t xml:space="preserve">Proposal </w:t>
      </w:r>
      <w:r>
        <w:rPr>
          <w:rFonts w:cs="Arial"/>
          <w:b/>
          <w:bCs/>
          <w:lang w:val="en-GB"/>
        </w:rPr>
        <w:t>2</w:t>
      </w:r>
      <w:r w:rsidRPr="00E73111">
        <w:rPr>
          <w:rFonts w:cs="Arial"/>
          <w:b/>
          <w:bCs/>
          <w:lang w:val="en-GB"/>
        </w:rPr>
        <w:t xml:space="preserve">: RAN3 to </w:t>
      </w:r>
      <w:r>
        <w:rPr>
          <w:rFonts w:cs="Arial"/>
          <w:b/>
          <w:bCs/>
          <w:lang w:val="en-GB"/>
        </w:rPr>
        <w:t>support</w:t>
      </w:r>
      <w:r w:rsidRPr="00E73111">
        <w:rPr>
          <w:rFonts w:cs="Arial"/>
          <w:b/>
          <w:bCs/>
          <w:lang w:val="en-GB"/>
        </w:rPr>
        <w:t xml:space="preserve"> IAB-DU migration with </w:t>
      </w:r>
      <w:r>
        <w:rPr>
          <w:rFonts w:cs="Arial"/>
          <w:b/>
          <w:bCs/>
          <w:lang w:val="en-GB"/>
        </w:rPr>
        <w:t xml:space="preserve">and without </w:t>
      </w:r>
      <w:r w:rsidRPr="00E73111">
        <w:rPr>
          <w:rFonts w:cs="Arial"/>
          <w:b/>
          <w:bCs/>
          <w:lang w:val="en-GB"/>
        </w:rPr>
        <w:t>PCI change.</w:t>
      </w:r>
    </w:p>
    <w:p w14:paraId="2E59943D" w14:textId="77777777" w:rsidR="00DF3BAA" w:rsidRPr="00E73111" w:rsidRDefault="00DF3BAA" w:rsidP="00DF3BAA">
      <w:pPr>
        <w:jc w:val="left"/>
        <w:rPr>
          <w:rFonts w:cs="Arial"/>
          <w:b/>
          <w:bCs/>
          <w:lang w:val="en-GB"/>
        </w:rPr>
      </w:pPr>
      <w:r w:rsidRPr="00E73111">
        <w:rPr>
          <w:rFonts w:cs="Arial"/>
          <w:b/>
          <w:bCs/>
          <w:lang w:val="en-GB"/>
        </w:rPr>
        <w:t xml:space="preserve">Proposal </w:t>
      </w:r>
      <w:r>
        <w:rPr>
          <w:rFonts w:cs="Arial"/>
          <w:b/>
          <w:bCs/>
          <w:lang w:val="en-GB"/>
        </w:rPr>
        <w:t>3</w:t>
      </w:r>
      <w:r w:rsidRPr="00E73111">
        <w:rPr>
          <w:rFonts w:cs="Arial"/>
          <w:b/>
          <w:bCs/>
          <w:lang w:val="en-GB"/>
        </w:rPr>
        <w:t xml:space="preserve">: RAN3 to discuss initiation of IAB-DU migration by </w:t>
      </w:r>
      <w:r>
        <w:rPr>
          <w:rFonts w:cs="Arial"/>
          <w:b/>
          <w:bCs/>
          <w:lang w:val="en-GB"/>
        </w:rPr>
        <w:t xml:space="preserve">the </w:t>
      </w:r>
      <w:r w:rsidRPr="00E73111">
        <w:rPr>
          <w:rFonts w:cs="Arial"/>
          <w:b/>
          <w:bCs/>
          <w:lang w:val="en-GB"/>
        </w:rPr>
        <w:t xml:space="preserve">source donor, </w:t>
      </w:r>
      <w:r>
        <w:rPr>
          <w:rFonts w:cs="Arial"/>
          <w:b/>
          <w:bCs/>
          <w:lang w:val="en-GB"/>
        </w:rPr>
        <w:t xml:space="preserve">by the </w:t>
      </w:r>
      <w:r w:rsidRPr="00E73111">
        <w:rPr>
          <w:rFonts w:cs="Arial"/>
          <w:b/>
          <w:bCs/>
          <w:lang w:val="en-GB"/>
        </w:rPr>
        <w:t xml:space="preserve">target donor </w:t>
      </w:r>
      <w:r>
        <w:rPr>
          <w:rFonts w:cs="Arial"/>
          <w:b/>
          <w:bCs/>
          <w:lang w:val="en-GB"/>
        </w:rPr>
        <w:t>and</w:t>
      </w:r>
      <w:r w:rsidRPr="00E73111">
        <w:rPr>
          <w:rFonts w:cs="Arial"/>
          <w:b/>
          <w:bCs/>
          <w:lang w:val="en-GB"/>
        </w:rPr>
        <w:t xml:space="preserve"> </w:t>
      </w:r>
      <w:r>
        <w:rPr>
          <w:rFonts w:cs="Arial"/>
          <w:b/>
          <w:bCs/>
          <w:lang w:val="en-GB"/>
        </w:rPr>
        <w:t xml:space="preserve">by </w:t>
      </w:r>
      <w:r w:rsidRPr="00E73111">
        <w:rPr>
          <w:rFonts w:cs="Arial"/>
          <w:b/>
          <w:bCs/>
          <w:lang w:val="en-GB"/>
        </w:rPr>
        <w:t>the migrating IAB-node.</w:t>
      </w:r>
    </w:p>
    <w:p w14:paraId="28238E00" w14:textId="77777777" w:rsidR="00DF3BAA" w:rsidRDefault="00DF3BAA" w:rsidP="00DF3BAA">
      <w:pPr>
        <w:jc w:val="left"/>
        <w:rPr>
          <w:rFonts w:cs="Arial"/>
          <w:b/>
          <w:bCs/>
          <w:lang w:val="en-GB"/>
        </w:rPr>
      </w:pPr>
      <w:r w:rsidRPr="00657B76">
        <w:rPr>
          <w:rFonts w:cs="Arial"/>
          <w:b/>
          <w:bCs/>
          <w:lang w:val="en-GB"/>
        </w:rPr>
        <w:t xml:space="preserve">Proposal </w:t>
      </w:r>
      <w:r>
        <w:rPr>
          <w:rFonts w:cs="Arial"/>
          <w:b/>
          <w:bCs/>
          <w:lang w:val="en-GB"/>
        </w:rPr>
        <w:t>4</w:t>
      </w:r>
      <w:r w:rsidRPr="00657B76">
        <w:rPr>
          <w:rFonts w:cs="Arial"/>
          <w:b/>
          <w:bCs/>
          <w:lang w:val="en-GB"/>
        </w:rPr>
        <w:t>: RAN2 to be liaised on IAB-DU migration without PCI change.</w:t>
      </w:r>
    </w:p>
    <w:p w14:paraId="0C5B61F4" w14:textId="77777777" w:rsidR="00DF3BAA" w:rsidRPr="001F29A1" w:rsidRDefault="00DF3BAA" w:rsidP="00DF3BAA">
      <w:pPr>
        <w:jc w:val="left"/>
        <w:rPr>
          <w:rFonts w:cs="Arial"/>
          <w:b/>
          <w:bCs/>
          <w:lang w:val="en-GB"/>
        </w:rPr>
      </w:pPr>
      <w:r w:rsidRPr="001F29A1">
        <w:rPr>
          <w:rFonts w:cs="Arial"/>
          <w:b/>
          <w:bCs/>
          <w:lang w:val="en-GB"/>
        </w:rPr>
        <w:t xml:space="preserve">Proposal </w:t>
      </w:r>
      <w:r>
        <w:rPr>
          <w:rFonts w:cs="Arial"/>
          <w:b/>
          <w:bCs/>
          <w:lang w:val="en-GB"/>
        </w:rPr>
        <w:t>5</w:t>
      </w:r>
      <w:r w:rsidRPr="001F29A1">
        <w:rPr>
          <w:rFonts w:cs="Arial"/>
          <w:b/>
          <w:bCs/>
          <w:lang w:val="en-GB"/>
        </w:rPr>
        <w:t xml:space="preserve">: RAN3 to discuss NCI </w:t>
      </w:r>
      <w:r>
        <w:rPr>
          <w:rFonts w:cs="Arial"/>
          <w:b/>
          <w:bCs/>
          <w:lang w:val="en-GB"/>
        </w:rPr>
        <w:t xml:space="preserve">and PCI </w:t>
      </w:r>
      <w:r w:rsidRPr="001F29A1">
        <w:rPr>
          <w:rFonts w:cs="Arial"/>
          <w:b/>
          <w:bCs/>
          <w:lang w:val="en-GB"/>
        </w:rPr>
        <w:t xml:space="preserve">configuration via OAM </w:t>
      </w:r>
      <w:r>
        <w:rPr>
          <w:rFonts w:cs="Arial"/>
          <w:b/>
          <w:bCs/>
          <w:lang w:val="en-GB"/>
        </w:rPr>
        <w:t>and/</w:t>
      </w:r>
      <w:r w:rsidRPr="001F29A1">
        <w:rPr>
          <w:rFonts w:cs="Arial"/>
          <w:b/>
          <w:bCs/>
          <w:lang w:val="en-GB"/>
        </w:rPr>
        <w:t>or via CU.</w:t>
      </w:r>
    </w:p>
    <w:p w14:paraId="5E657C3C" w14:textId="3390A9D3" w:rsidR="001F29A1" w:rsidRDefault="00657B76" w:rsidP="001F29A1">
      <w:pPr>
        <w:pStyle w:val="Heading1"/>
        <w:rPr>
          <w:rFonts w:eastAsia="SimSun" w:cs="Arial"/>
          <w:lang w:val="en-US"/>
        </w:rPr>
      </w:pPr>
      <w:r w:rsidRPr="00657B76">
        <w:rPr>
          <w:rFonts w:cs="Arial"/>
        </w:rPr>
        <w:t xml:space="preserve"> </w:t>
      </w:r>
      <w:r w:rsidR="001F29A1">
        <w:rPr>
          <w:rFonts w:eastAsia="SimSun" w:cs="Arial"/>
          <w:lang w:val="en-US"/>
        </w:rPr>
        <w:t>References</w:t>
      </w:r>
    </w:p>
    <w:p w14:paraId="74846508" w14:textId="1A397483" w:rsidR="00447279" w:rsidRPr="00457694" w:rsidRDefault="00447279" w:rsidP="00447279">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WG3 Meeting #11</w:t>
      </w:r>
      <w:r>
        <w:rPr>
          <w:rFonts w:ascii="Arial" w:hAnsi="Arial" w:cs="Arial"/>
          <w:sz w:val="20"/>
          <w:lang w:val="en-US" w:eastAsia="zh-CN"/>
        </w:rPr>
        <w:t>1</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Pr>
          <w:rFonts w:ascii="Arial" w:hAnsi="Arial" w:cs="Arial"/>
          <w:sz w:val="20"/>
          <w:szCs w:val="20"/>
          <w:lang w:val="en-GB"/>
        </w:rPr>
        <w:t>January</w:t>
      </w:r>
      <w:r w:rsidRPr="00457694">
        <w:rPr>
          <w:rFonts w:ascii="Arial" w:hAnsi="Arial" w:cs="Arial"/>
          <w:sz w:val="20"/>
          <w:szCs w:val="20"/>
          <w:lang w:val="en-GB"/>
        </w:rPr>
        <w:t xml:space="preserve"> </w:t>
      </w:r>
      <w:r w:rsidR="00021436">
        <w:rPr>
          <w:rFonts w:ascii="Arial" w:hAnsi="Arial" w:cs="Arial"/>
          <w:sz w:val="20"/>
          <w:szCs w:val="20"/>
          <w:lang w:val="en-GB"/>
        </w:rPr>
        <w:t xml:space="preserve">25 </w:t>
      </w:r>
      <w:r w:rsidRPr="00457694">
        <w:rPr>
          <w:rFonts w:ascii="Arial" w:hAnsi="Arial" w:cs="Arial"/>
          <w:sz w:val="20"/>
          <w:szCs w:val="20"/>
          <w:lang w:val="en-GB"/>
        </w:rPr>
        <w:t>-</w:t>
      </w:r>
      <w:r w:rsidR="00021436">
        <w:rPr>
          <w:rFonts w:ascii="Arial" w:hAnsi="Arial" w:cs="Arial"/>
          <w:sz w:val="20"/>
          <w:szCs w:val="20"/>
          <w:lang w:val="en-GB"/>
        </w:rPr>
        <w:t xml:space="preserve"> February 05</w:t>
      </w:r>
      <w:r w:rsidRPr="00457694">
        <w:rPr>
          <w:rFonts w:ascii="Arial" w:hAnsi="Arial" w:cs="Arial"/>
          <w:sz w:val="20"/>
          <w:szCs w:val="20"/>
          <w:lang w:val="en-GB"/>
        </w:rPr>
        <w:t>, 202</w:t>
      </w:r>
      <w:r w:rsidR="00A551F2">
        <w:rPr>
          <w:rFonts w:ascii="Arial" w:hAnsi="Arial" w:cs="Arial"/>
          <w:sz w:val="20"/>
          <w:szCs w:val="20"/>
          <w:lang w:val="en-GB"/>
        </w:rPr>
        <w:t>1</w:t>
      </w:r>
      <w:r w:rsidRPr="00457694">
        <w:rPr>
          <w:rFonts w:ascii="Arial" w:hAnsi="Arial" w:cs="Arial"/>
          <w:sz w:val="20"/>
          <w:szCs w:val="20"/>
          <w:lang w:val="en-GB"/>
        </w:rPr>
        <w:t xml:space="preserve"> </w:t>
      </w:r>
    </w:p>
    <w:p w14:paraId="023D9014" w14:textId="412B283B" w:rsidR="00447279" w:rsidRPr="00457694" w:rsidRDefault="00447279" w:rsidP="00447279">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 xml:space="preserve">Chairman report, 3GPP RAN TSG WG3 Meeting #110e, </w:t>
      </w:r>
      <w:r w:rsidRPr="00457694">
        <w:rPr>
          <w:rFonts w:ascii="Arial" w:hAnsi="Arial" w:cs="Arial"/>
          <w:sz w:val="20"/>
          <w:szCs w:val="20"/>
          <w:lang w:val="en-GB"/>
        </w:rPr>
        <w:t>Electronic Meeting, November 2-1</w:t>
      </w:r>
      <w:r w:rsidR="00021436">
        <w:rPr>
          <w:rFonts w:ascii="Arial" w:hAnsi="Arial" w:cs="Arial"/>
          <w:sz w:val="20"/>
          <w:szCs w:val="20"/>
          <w:lang w:val="en-GB"/>
        </w:rPr>
        <w:t>3</w:t>
      </w:r>
      <w:r w:rsidRPr="00457694">
        <w:rPr>
          <w:rFonts w:ascii="Arial" w:hAnsi="Arial" w:cs="Arial"/>
          <w:sz w:val="20"/>
          <w:szCs w:val="20"/>
          <w:lang w:val="en-GB"/>
        </w:rPr>
        <w:t xml:space="preserve">, 2020 </w:t>
      </w:r>
    </w:p>
    <w:p w14:paraId="01EAD6DB" w14:textId="18709F6E" w:rsidR="00447279" w:rsidRPr="00457694" w:rsidRDefault="001F29A1" w:rsidP="00447279">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657B76">
        <w:rPr>
          <w:rFonts w:cs="Arial"/>
          <w:lang w:val="en-GB"/>
        </w:rPr>
        <w:t xml:space="preserve"> </w:t>
      </w:r>
      <w:r w:rsidR="00447279" w:rsidRPr="00457694">
        <w:rPr>
          <w:rFonts w:ascii="Arial" w:hAnsi="Arial" w:cs="Arial"/>
          <w:sz w:val="20"/>
          <w:lang w:val="en-US" w:eastAsia="zh-CN"/>
        </w:rPr>
        <w:t>Chairman report, 3GPP RAN TSG WG3 Meeting #1</w:t>
      </w:r>
      <w:r w:rsidR="00447279">
        <w:rPr>
          <w:rFonts w:ascii="Arial" w:hAnsi="Arial" w:cs="Arial"/>
          <w:sz w:val="20"/>
          <w:lang w:val="en-US" w:eastAsia="zh-CN"/>
        </w:rPr>
        <w:t>09</w:t>
      </w:r>
      <w:r w:rsidR="00447279" w:rsidRPr="00457694">
        <w:rPr>
          <w:rFonts w:ascii="Arial" w:hAnsi="Arial" w:cs="Arial"/>
          <w:sz w:val="20"/>
          <w:lang w:val="en-US" w:eastAsia="zh-CN"/>
        </w:rPr>
        <w:t xml:space="preserve">e, </w:t>
      </w:r>
      <w:r w:rsidR="00447279" w:rsidRPr="00457694">
        <w:rPr>
          <w:rFonts w:ascii="Arial" w:hAnsi="Arial" w:cs="Arial"/>
          <w:sz w:val="20"/>
          <w:szCs w:val="20"/>
          <w:lang w:val="en-GB"/>
        </w:rPr>
        <w:t xml:space="preserve">Electronic Meeting, </w:t>
      </w:r>
      <w:r w:rsidR="00447279">
        <w:rPr>
          <w:rFonts w:ascii="Arial" w:hAnsi="Arial" w:cs="Arial"/>
          <w:sz w:val="20"/>
          <w:szCs w:val="20"/>
          <w:lang w:val="en-GB"/>
        </w:rPr>
        <w:t>August</w:t>
      </w:r>
      <w:r w:rsidR="00447279" w:rsidRPr="00457694">
        <w:rPr>
          <w:rFonts w:ascii="Arial" w:hAnsi="Arial" w:cs="Arial"/>
          <w:sz w:val="20"/>
          <w:szCs w:val="20"/>
          <w:lang w:val="en-GB"/>
        </w:rPr>
        <w:t xml:space="preserve"> </w:t>
      </w:r>
      <w:r w:rsidR="00021436">
        <w:rPr>
          <w:rFonts w:ascii="Arial" w:hAnsi="Arial" w:cs="Arial"/>
          <w:sz w:val="20"/>
          <w:szCs w:val="20"/>
          <w:lang w:val="en-GB"/>
        </w:rPr>
        <w:t>17</w:t>
      </w:r>
      <w:r w:rsidR="00447279" w:rsidRPr="00457694">
        <w:rPr>
          <w:rFonts w:ascii="Arial" w:hAnsi="Arial" w:cs="Arial"/>
          <w:sz w:val="20"/>
          <w:szCs w:val="20"/>
          <w:lang w:val="en-GB"/>
        </w:rPr>
        <w:t>-</w:t>
      </w:r>
      <w:r w:rsidR="00021436">
        <w:rPr>
          <w:rFonts w:ascii="Arial" w:hAnsi="Arial" w:cs="Arial"/>
          <w:sz w:val="20"/>
          <w:szCs w:val="20"/>
          <w:lang w:val="en-GB"/>
        </w:rPr>
        <w:t>28</w:t>
      </w:r>
      <w:r w:rsidR="00447279" w:rsidRPr="00457694">
        <w:rPr>
          <w:rFonts w:ascii="Arial" w:hAnsi="Arial" w:cs="Arial"/>
          <w:sz w:val="20"/>
          <w:szCs w:val="20"/>
          <w:lang w:val="en-GB"/>
        </w:rPr>
        <w:t xml:space="preserve">, 2020 </w:t>
      </w:r>
    </w:p>
    <w:p w14:paraId="423DC797" w14:textId="29414249" w:rsidR="001F29A1" w:rsidRPr="00657B76" w:rsidRDefault="001F29A1" w:rsidP="001F29A1">
      <w:pPr>
        <w:ind w:left="288"/>
        <w:jc w:val="left"/>
        <w:rPr>
          <w:rFonts w:cs="Arial"/>
          <w:lang w:val="en-GB"/>
        </w:rPr>
      </w:pPr>
      <w:r w:rsidRPr="00657B76">
        <w:rPr>
          <w:rFonts w:cs="Arial"/>
          <w:lang w:val="en-GB"/>
        </w:rPr>
        <w:t xml:space="preserve"> </w:t>
      </w:r>
    </w:p>
    <w:p w14:paraId="491A3586" w14:textId="571EB3B6" w:rsidR="00657B76" w:rsidRPr="00657B76" w:rsidRDefault="00657B76" w:rsidP="001F29A1">
      <w:pPr>
        <w:ind w:left="288"/>
        <w:jc w:val="left"/>
        <w:rPr>
          <w:rFonts w:cs="Arial"/>
          <w:lang w:val="en-GB"/>
        </w:rPr>
      </w:pPr>
      <w:r w:rsidRPr="00657B76">
        <w:rPr>
          <w:rFonts w:cs="Arial"/>
          <w:lang w:val="en-GB"/>
        </w:rPr>
        <w:t xml:space="preserve"> </w:t>
      </w:r>
      <w:bookmarkEnd w:id="0"/>
      <w:bookmarkEnd w:id="1"/>
    </w:p>
    <w:sectPr w:rsidR="00657B76" w:rsidRPr="00657B76"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B66D5" w14:textId="77777777" w:rsidR="001D67BA" w:rsidRDefault="001D67BA" w:rsidP="00796430">
      <w:r>
        <w:separator/>
      </w:r>
    </w:p>
  </w:endnote>
  <w:endnote w:type="continuationSeparator" w:id="0">
    <w:p w14:paraId="62301B34" w14:textId="77777777" w:rsidR="001D67BA" w:rsidRDefault="001D67B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39250E" w:rsidRDefault="003925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20FA5" w14:textId="77777777" w:rsidR="001D67BA" w:rsidRDefault="001D67BA" w:rsidP="00796430">
      <w:r>
        <w:separator/>
      </w:r>
    </w:p>
  </w:footnote>
  <w:footnote w:type="continuationSeparator" w:id="0">
    <w:p w14:paraId="12A543DC" w14:textId="77777777" w:rsidR="001D67BA" w:rsidRDefault="001D67BA"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39250E" w:rsidRDefault="0039250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46"/>
        </w:tabs>
        <w:ind w:left="84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57F79"/>
    <w:multiLevelType w:val="hybridMultilevel"/>
    <w:tmpl w:val="459855A8"/>
    <w:lvl w:ilvl="0" w:tplc="FFAAAA9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DD4D66"/>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670A2DFD"/>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5566A"/>
    <w:multiLevelType w:val="hybridMultilevel"/>
    <w:tmpl w:val="C3A4EC6C"/>
    <w:lvl w:ilvl="0" w:tplc="A1E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04965"/>
    <w:multiLevelType w:val="hybridMultilevel"/>
    <w:tmpl w:val="FBD01D56"/>
    <w:lvl w:ilvl="0" w:tplc="FFAAAA9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7CEA663A"/>
    <w:multiLevelType w:val="hybridMultilevel"/>
    <w:tmpl w:val="21A6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0"/>
  </w:num>
  <w:num w:numId="2">
    <w:abstractNumId w:val="21"/>
  </w:num>
  <w:num w:numId="3">
    <w:abstractNumId w:val="16"/>
  </w:num>
  <w:num w:numId="4">
    <w:abstractNumId w:val="11"/>
  </w:num>
  <w:num w:numId="5">
    <w:abstractNumId w:val="25"/>
  </w:num>
  <w:num w:numId="6">
    <w:abstractNumId w:val="12"/>
  </w:num>
  <w:num w:numId="7">
    <w:abstractNumId w:val="3"/>
  </w:num>
  <w:num w:numId="8">
    <w:abstractNumId w:val="22"/>
  </w:num>
  <w:num w:numId="9">
    <w:abstractNumId w:val="23"/>
    <w:lvlOverride w:ilvl="0">
      <w:startOverride w:val="1"/>
    </w:lvlOverride>
  </w:num>
  <w:num w:numId="10">
    <w:abstractNumId w:val="2"/>
  </w:num>
  <w:num w:numId="11">
    <w:abstractNumId w:val="19"/>
  </w:num>
  <w:num w:numId="1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9"/>
  </w:num>
  <w:num w:numId="15">
    <w:abstractNumId w:val="14"/>
  </w:num>
  <w:num w:numId="16">
    <w:abstractNumId w:val="6"/>
  </w:num>
  <w:num w:numId="17">
    <w:abstractNumId w:val="7"/>
  </w:num>
  <w:num w:numId="18">
    <w:abstractNumId w:val="30"/>
  </w:num>
  <w:num w:numId="19">
    <w:abstractNumId w:val="15"/>
  </w:num>
  <w:num w:numId="20">
    <w:abstractNumId w:val="24"/>
  </w:num>
  <w:num w:numId="21">
    <w:abstractNumId w:val="35"/>
  </w:num>
  <w:num w:numId="22">
    <w:abstractNumId w:val="4"/>
  </w:num>
  <w:num w:numId="23">
    <w:abstractNumId w:val="31"/>
  </w:num>
  <w:num w:numId="24">
    <w:abstractNumId w:val="13"/>
  </w:num>
  <w:num w:numId="25">
    <w:abstractNumId w:val="5"/>
  </w:num>
  <w:num w:numId="26">
    <w:abstractNumId w:val="18"/>
  </w:num>
  <w:num w:numId="27">
    <w:abstractNumId w:val="29"/>
  </w:num>
  <w:num w:numId="28">
    <w:abstractNumId w:val="17"/>
  </w:num>
  <w:num w:numId="29">
    <w:abstractNumId w:val="20"/>
  </w:num>
  <w:num w:numId="30">
    <w:abstractNumId w:val="8"/>
  </w:num>
  <w:num w:numId="31">
    <w:abstractNumId w:val="34"/>
  </w:num>
  <w:num w:numId="32">
    <w:abstractNumId w:val="10"/>
  </w:num>
  <w:num w:numId="33">
    <w:abstractNumId w:val="27"/>
  </w:num>
  <w:num w:numId="34">
    <w:abstractNumId w:val="26"/>
  </w:num>
  <w:num w:numId="35">
    <w:abstractNumId w:val="32"/>
  </w:num>
  <w:num w:numId="3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9C6"/>
    <w:rsid w:val="00014C5C"/>
    <w:rsid w:val="00014CCD"/>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436"/>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13D"/>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676"/>
    <w:rsid w:val="00040856"/>
    <w:rsid w:val="00040AD0"/>
    <w:rsid w:val="00040B26"/>
    <w:rsid w:val="0004106D"/>
    <w:rsid w:val="00041205"/>
    <w:rsid w:val="000414D7"/>
    <w:rsid w:val="00041578"/>
    <w:rsid w:val="00041848"/>
    <w:rsid w:val="00041997"/>
    <w:rsid w:val="00041C1B"/>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6EB"/>
    <w:rsid w:val="00046783"/>
    <w:rsid w:val="00046C0F"/>
    <w:rsid w:val="00047006"/>
    <w:rsid w:val="0004764B"/>
    <w:rsid w:val="000479DD"/>
    <w:rsid w:val="00047C8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794"/>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1BB4"/>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133"/>
    <w:rsid w:val="000B626F"/>
    <w:rsid w:val="000B65F3"/>
    <w:rsid w:val="000B690C"/>
    <w:rsid w:val="000B693E"/>
    <w:rsid w:val="000B73EC"/>
    <w:rsid w:val="000B7556"/>
    <w:rsid w:val="000B76C1"/>
    <w:rsid w:val="000C033C"/>
    <w:rsid w:val="000C0AFB"/>
    <w:rsid w:val="000C111E"/>
    <w:rsid w:val="000C13DF"/>
    <w:rsid w:val="000C1B1B"/>
    <w:rsid w:val="000C1B5A"/>
    <w:rsid w:val="000C1EE9"/>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80"/>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17"/>
    <w:rsid w:val="000E41F0"/>
    <w:rsid w:val="000E44F2"/>
    <w:rsid w:val="000E4558"/>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09"/>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BCA"/>
    <w:rsid w:val="00133E47"/>
    <w:rsid w:val="0013438A"/>
    <w:rsid w:val="0013456D"/>
    <w:rsid w:val="001346EC"/>
    <w:rsid w:val="0013618E"/>
    <w:rsid w:val="001364F2"/>
    <w:rsid w:val="001368E9"/>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FF4"/>
    <w:rsid w:val="00151FFC"/>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55"/>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C32"/>
    <w:rsid w:val="00190D35"/>
    <w:rsid w:val="00191466"/>
    <w:rsid w:val="001915E6"/>
    <w:rsid w:val="001918BC"/>
    <w:rsid w:val="001922EB"/>
    <w:rsid w:val="001928A7"/>
    <w:rsid w:val="00192C2E"/>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59D"/>
    <w:rsid w:val="001A3B5B"/>
    <w:rsid w:val="001A3E86"/>
    <w:rsid w:val="001A3EAE"/>
    <w:rsid w:val="001A4167"/>
    <w:rsid w:val="001A4368"/>
    <w:rsid w:val="001A49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81B"/>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4FE"/>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7B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3F"/>
    <w:rsid w:val="001F16E8"/>
    <w:rsid w:val="001F18F4"/>
    <w:rsid w:val="001F1CE8"/>
    <w:rsid w:val="001F227A"/>
    <w:rsid w:val="001F2286"/>
    <w:rsid w:val="001F2525"/>
    <w:rsid w:val="001F29A1"/>
    <w:rsid w:val="001F2DA9"/>
    <w:rsid w:val="001F3101"/>
    <w:rsid w:val="001F36EF"/>
    <w:rsid w:val="001F3805"/>
    <w:rsid w:val="001F3819"/>
    <w:rsid w:val="001F3CD4"/>
    <w:rsid w:val="001F3DA6"/>
    <w:rsid w:val="001F3E26"/>
    <w:rsid w:val="001F3F8B"/>
    <w:rsid w:val="001F4029"/>
    <w:rsid w:val="001F4380"/>
    <w:rsid w:val="001F4BC8"/>
    <w:rsid w:val="001F4D96"/>
    <w:rsid w:val="001F4ED2"/>
    <w:rsid w:val="001F5069"/>
    <w:rsid w:val="001F52E7"/>
    <w:rsid w:val="001F540A"/>
    <w:rsid w:val="001F56AF"/>
    <w:rsid w:val="001F595C"/>
    <w:rsid w:val="001F5CF6"/>
    <w:rsid w:val="001F5D4E"/>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4CF"/>
    <w:rsid w:val="002178B0"/>
    <w:rsid w:val="0022016E"/>
    <w:rsid w:val="002204DE"/>
    <w:rsid w:val="00220717"/>
    <w:rsid w:val="0022087B"/>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6E9"/>
    <w:rsid w:val="002657A5"/>
    <w:rsid w:val="0026596A"/>
    <w:rsid w:val="00266700"/>
    <w:rsid w:val="00266D1F"/>
    <w:rsid w:val="00266DC7"/>
    <w:rsid w:val="0026730A"/>
    <w:rsid w:val="0026738B"/>
    <w:rsid w:val="0026782E"/>
    <w:rsid w:val="0026783C"/>
    <w:rsid w:val="0027053A"/>
    <w:rsid w:val="00270A3B"/>
    <w:rsid w:val="00270AC7"/>
    <w:rsid w:val="00270EBB"/>
    <w:rsid w:val="0027111C"/>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4E64"/>
    <w:rsid w:val="0029505C"/>
    <w:rsid w:val="00295095"/>
    <w:rsid w:val="002951A9"/>
    <w:rsid w:val="00295362"/>
    <w:rsid w:val="002955AE"/>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AC9"/>
    <w:rsid w:val="002A4D2C"/>
    <w:rsid w:val="002A5186"/>
    <w:rsid w:val="002A54F4"/>
    <w:rsid w:val="002A6255"/>
    <w:rsid w:val="002A6459"/>
    <w:rsid w:val="002A6894"/>
    <w:rsid w:val="002A6D80"/>
    <w:rsid w:val="002A6D82"/>
    <w:rsid w:val="002A6E90"/>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4EA"/>
    <w:rsid w:val="002E15F1"/>
    <w:rsid w:val="002E16A8"/>
    <w:rsid w:val="002E190A"/>
    <w:rsid w:val="002E193F"/>
    <w:rsid w:val="002E1AFF"/>
    <w:rsid w:val="002E1B85"/>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185"/>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65"/>
    <w:rsid w:val="00314086"/>
    <w:rsid w:val="00314286"/>
    <w:rsid w:val="0031483C"/>
    <w:rsid w:val="00314A30"/>
    <w:rsid w:val="00314C2F"/>
    <w:rsid w:val="00314CF5"/>
    <w:rsid w:val="00314E0B"/>
    <w:rsid w:val="00314E95"/>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2FB8"/>
    <w:rsid w:val="0036320B"/>
    <w:rsid w:val="00363269"/>
    <w:rsid w:val="003634E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5B3"/>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9FD"/>
    <w:rsid w:val="00391F97"/>
    <w:rsid w:val="00392164"/>
    <w:rsid w:val="0039250E"/>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181"/>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77B"/>
    <w:rsid w:val="003C27A5"/>
    <w:rsid w:val="003C3134"/>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414"/>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950"/>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6376"/>
    <w:rsid w:val="003F6947"/>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9F9"/>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523"/>
    <w:rsid w:val="004056D4"/>
    <w:rsid w:val="0040582F"/>
    <w:rsid w:val="004058D5"/>
    <w:rsid w:val="00405A0E"/>
    <w:rsid w:val="00405E9C"/>
    <w:rsid w:val="004062E7"/>
    <w:rsid w:val="00406743"/>
    <w:rsid w:val="00406A57"/>
    <w:rsid w:val="00406AFE"/>
    <w:rsid w:val="00406BA6"/>
    <w:rsid w:val="00406CB4"/>
    <w:rsid w:val="00406DF2"/>
    <w:rsid w:val="00406F39"/>
    <w:rsid w:val="00406FC3"/>
    <w:rsid w:val="0040731A"/>
    <w:rsid w:val="00407906"/>
    <w:rsid w:val="00407AE6"/>
    <w:rsid w:val="004102C0"/>
    <w:rsid w:val="0041058B"/>
    <w:rsid w:val="00410A89"/>
    <w:rsid w:val="00410B17"/>
    <w:rsid w:val="00410C65"/>
    <w:rsid w:val="004117DA"/>
    <w:rsid w:val="004118AC"/>
    <w:rsid w:val="00411D07"/>
    <w:rsid w:val="00411DAA"/>
    <w:rsid w:val="00411E68"/>
    <w:rsid w:val="004126D0"/>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3E"/>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308"/>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279"/>
    <w:rsid w:val="004475D0"/>
    <w:rsid w:val="00447C39"/>
    <w:rsid w:val="00447D35"/>
    <w:rsid w:val="00447F68"/>
    <w:rsid w:val="004507D9"/>
    <w:rsid w:val="00450AA9"/>
    <w:rsid w:val="00451594"/>
    <w:rsid w:val="0045192E"/>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4F1"/>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0B9"/>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3E"/>
    <w:rsid w:val="0049567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63"/>
    <w:rsid w:val="004B6884"/>
    <w:rsid w:val="004B6A6C"/>
    <w:rsid w:val="004B6B07"/>
    <w:rsid w:val="004B6C92"/>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07C"/>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83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02"/>
    <w:rsid w:val="004F34BF"/>
    <w:rsid w:val="004F3955"/>
    <w:rsid w:val="004F3CFD"/>
    <w:rsid w:val="004F3F7F"/>
    <w:rsid w:val="004F4233"/>
    <w:rsid w:val="004F4379"/>
    <w:rsid w:val="004F4B8A"/>
    <w:rsid w:val="004F4C92"/>
    <w:rsid w:val="004F4E6C"/>
    <w:rsid w:val="004F516E"/>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661"/>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717F"/>
    <w:rsid w:val="00537BA4"/>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67"/>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D67"/>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552"/>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596"/>
    <w:rsid w:val="005967A9"/>
    <w:rsid w:val="0059732A"/>
    <w:rsid w:val="005A00B7"/>
    <w:rsid w:val="005A02E7"/>
    <w:rsid w:val="005A0734"/>
    <w:rsid w:val="005A1007"/>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55D"/>
    <w:rsid w:val="005C5665"/>
    <w:rsid w:val="005C5842"/>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5FD"/>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6D60"/>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010"/>
    <w:rsid w:val="00657440"/>
    <w:rsid w:val="00657853"/>
    <w:rsid w:val="00657A2A"/>
    <w:rsid w:val="00657B76"/>
    <w:rsid w:val="00657E7D"/>
    <w:rsid w:val="00657ED8"/>
    <w:rsid w:val="00660236"/>
    <w:rsid w:val="0066053E"/>
    <w:rsid w:val="0066103B"/>
    <w:rsid w:val="00661467"/>
    <w:rsid w:val="00661B67"/>
    <w:rsid w:val="00661C5F"/>
    <w:rsid w:val="00661EFA"/>
    <w:rsid w:val="00662431"/>
    <w:rsid w:val="006626D4"/>
    <w:rsid w:val="006628E9"/>
    <w:rsid w:val="00662FFE"/>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4A3"/>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362"/>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2FA"/>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1A"/>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5B2"/>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21B"/>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7C8"/>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078"/>
    <w:rsid w:val="0070519A"/>
    <w:rsid w:val="0070546F"/>
    <w:rsid w:val="00705A74"/>
    <w:rsid w:val="00705BF3"/>
    <w:rsid w:val="00705CBB"/>
    <w:rsid w:val="00705F51"/>
    <w:rsid w:val="0070650A"/>
    <w:rsid w:val="00706AFC"/>
    <w:rsid w:val="00706FFF"/>
    <w:rsid w:val="0070701C"/>
    <w:rsid w:val="00707988"/>
    <w:rsid w:val="007079DA"/>
    <w:rsid w:val="00707A8A"/>
    <w:rsid w:val="00707C64"/>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CB"/>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2D2A"/>
    <w:rsid w:val="007C329C"/>
    <w:rsid w:val="007C349D"/>
    <w:rsid w:val="007C3F15"/>
    <w:rsid w:val="007C448C"/>
    <w:rsid w:val="007C457F"/>
    <w:rsid w:val="007C4F9F"/>
    <w:rsid w:val="007C52B4"/>
    <w:rsid w:val="007C539E"/>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D7C7C"/>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AF0"/>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20E"/>
    <w:rsid w:val="007F63EB"/>
    <w:rsid w:val="007F6759"/>
    <w:rsid w:val="007F676A"/>
    <w:rsid w:val="007F69F7"/>
    <w:rsid w:val="007F6B5C"/>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9A3"/>
    <w:rsid w:val="00802D4E"/>
    <w:rsid w:val="00802E65"/>
    <w:rsid w:val="008037DF"/>
    <w:rsid w:val="00803B97"/>
    <w:rsid w:val="00803E65"/>
    <w:rsid w:val="008046C1"/>
    <w:rsid w:val="008049B7"/>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651"/>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3C4"/>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2E0"/>
    <w:rsid w:val="0083482E"/>
    <w:rsid w:val="00834A63"/>
    <w:rsid w:val="00834D30"/>
    <w:rsid w:val="008354F7"/>
    <w:rsid w:val="008357BD"/>
    <w:rsid w:val="00835A5C"/>
    <w:rsid w:val="00835C34"/>
    <w:rsid w:val="00835CD9"/>
    <w:rsid w:val="008364C8"/>
    <w:rsid w:val="0083689F"/>
    <w:rsid w:val="00836921"/>
    <w:rsid w:val="00836CE1"/>
    <w:rsid w:val="00836DE0"/>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59D"/>
    <w:rsid w:val="00845DBB"/>
    <w:rsid w:val="00845F74"/>
    <w:rsid w:val="00846168"/>
    <w:rsid w:val="008461FF"/>
    <w:rsid w:val="008463A3"/>
    <w:rsid w:val="008469A9"/>
    <w:rsid w:val="00846A28"/>
    <w:rsid w:val="00846A29"/>
    <w:rsid w:val="00846B15"/>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6BF"/>
    <w:rsid w:val="008607C2"/>
    <w:rsid w:val="00860A9A"/>
    <w:rsid w:val="00860E87"/>
    <w:rsid w:val="00861D14"/>
    <w:rsid w:val="0086263E"/>
    <w:rsid w:val="008629E3"/>
    <w:rsid w:val="00862AEB"/>
    <w:rsid w:val="00862BB0"/>
    <w:rsid w:val="00862DEB"/>
    <w:rsid w:val="00862E43"/>
    <w:rsid w:val="00862E8C"/>
    <w:rsid w:val="00863069"/>
    <w:rsid w:val="008630D3"/>
    <w:rsid w:val="00863E27"/>
    <w:rsid w:val="00864152"/>
    <w:rsid w:val="00864218"/>
    <w:rsid w:val="00864222"/>
    <w:rsid w:val="008644CE"/>
    <w:rsid w:val="0086468F"/>
    <w:rsid w:val="0086553A"/>
    <w:rsid w:val="00865769"/>
    <w:rsid w:val="0086576D"/>
    <w:rsid w:val="008659C3"/>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532"/>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3112"/>
    <w:rsid w:val="008832EE"/>
    <w:rsid w:val="00883F73"/>
    <w:rsid w:val="0088486A"/>
    <w:rsid w:val="008849FE"/>
    <w:rsid w:val="00885053"/>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D5F"/>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237"/>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5AD"/>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503"/>
    <w:rsid w:val="00907680"/>
    <w:rsid w:val="009076F3"/>
    <w:rsid w:val="00907AF9"/>
    <w:rsid w:val="00907D09"/>
    <w:rsid w:val="0091021C"/>
    <w:rsid w:val="00910564"/>
    <w:rsid w:val="009107E2"/>
    <w:rsid w:val="0091086B"/>
    <w:rsid w:val="00910A68"/>
    <w:rsid w:val="00910C8C"/>
    <w:rsid w:val="009110EE"/>
    <w:rsid w:val="009111FE"/>
    <w:rsid w:val="00911546"/>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7D9"/>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2D1"/>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213"/>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1495"/>
    <w:rsid w:val="009418D0"/>
    <w:rsid w:val="00941BA9"/>
    <w:rsid w:val="00941F24"/>
    <w:rsid w:val="009422A4"/>
    <w:rsid w:val="009422CB"/>
    <w:rsid w:val="009433E0"/>
    <w:rsid w:val="009434A9"/>
    <w:rsid w:val="0094353F"/>
    <w:rsid w:val="009437C9"/>
    <w:rsid w:val="00943A6A"/>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633"/>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5172"/>
    <w:rsid w:val="009A5285"/>
    <w:rsid w:val="009A538B"/>
    <w:rsid w:val="009A5616"/>
    <w:rsid w:val="009A5866"/>
    <w:rsid w:val="009A5C53"/>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9D9"/>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0F09"/>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157B"/>
    <w:rsid w:val="00A01984"/>
    <w:rsid w:val="00A01B3E"/>
    <w:rsid w:val="00A02387"/>
    <w:rsid w:val="00A024A5"/>
    <w:rsid w:val="00A027F5"/>
    <w:rsid w:val="00A0283E"/>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0DA9"/>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8B0"/>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546"/>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A34"/>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1F2"/>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0FB1"/>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5CD"/>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020"/>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2F60"/>
    <w:rsid w:val="00AF33B1"/>
    <w:rsid w:val="00AF3874"/>
    <w:rsid w:val="00AF3EC4"/>
    <w:rsid w:val="00AF3FB8"/>
    <w:rsid w:val="00AF4105"/>
    <w:rsid w:val="00AF4843"/>
    <w:rsid w:val="00AF49F0"/>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3E55"/>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D"/>
    <w:rsid w:val="00B2760D"/>
    <w:rsid w:val="00B27734"/>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572E"/>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55E"/>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369"/>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2052"/>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68"/>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883"/>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394"/>
    <w:rsid w:val="00C16459"/>
    <w:rsid w:val="00C1674D"/>
    <w:rsid w:val="00C16AF9"/>
    <w:rsid w:val="00C171FD"/>
    <w:rsid w:val="00C179BE"/>
    <w:rsid w:val="00C17C03"/>
    <w:rsid w:val="00C207C2"/>
    <w:rsid w:val="00C20C75"/>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27D"/>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5A25"/>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C7"/>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EDC"/>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E9"/>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7C0"/>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8F8"/>
    <w:rsid w:val="00CE699A"/>
    <w:rsid w:val="00CE69EB"/>
    <w:rsid w:val="00CE6C28"/>
    <w:rsid w:val="00CE6C47"/>
    <w:rsid w:val="00CE6CAE"/>
    <w:rsid w:val="00CE72A4"/>
    <w:rsid w:val="00CE7B3E"/>
    <w:rsid w:val="00CE7B67"/>
    <w:rsid w:val="00CF01D6"/>
    <w:rsid w:val="00CF01D8"/>
    <w:rsid w:val="00CF0281"/>
    <w:rsid w:val="00CF0680"/>
    <w:rsid w:val="00CF0DF9"/>
    <w:rsid w:val="00CF0F92"/>
    <w:rsid w:val="00CF187D"/>
    <w:rsid w:val="00CF224F"/>
    <w:rsid w:val="00CF28EA"/>
    <w:rsid w:val="00CF2B23"/>
    <w:rsid w:val="00CF3141"/>
    <w:rsid w:val="00CF3378"/>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178"/>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59A"/>
    <w:rsid w:val="00D50941"/>
    <w:rsid w:val="00D50A30"/>
    <w:rsid w:val="00D50E4F"/>
    <w:rsid w:val="00D517B8"/>
    <w:rsid w:val="00D51A11"/>
    <w:rsid w:val="00D51E1C"/>
    <w:rsid w:val="00D5202F"/>
    <w:rsid w:val="00D52508"/>
    <w:rsid w:val="00D52AED"/>
    <w:rsid w:val="00D52CE8"/>
    <w:rsid w:val="00D53000"/>
    <w:rsid w:val="00D53192"/>
    <w:rsid w:val="00D53A60"/>
    <w:rsid w:val="00D53DC4"/>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24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85A"/>
    <w:rsid w:val="00D878FC"/>
    <w:rsid w:val="00D87C6A"/>
    <w:rsid w:val="00D87F6B"/>
    <w:rsid w:val="00D90284"/>
    <w:rsid w:val="00D9079B"/>
    <w:rsid w:val="00D90B8F"/>
    <w:rsid w:val="00D90D90"/>
    <w:rsid w:val="00D910C6"/>
    <w:rsid w:val="00D91726"/>
    <w:rsid w:val="00D917B6"/>
    <w:rsid w:val="00D918FE"/>
    <w:rsid w:val="00D91BE5"/>
    <w:rsid w:val="00D92060"/>
    <w:rsid w:val="00D929EB"/>
    <w:rsid w:val="00D92F3B"/>
    <w:rsid w:val="00D93ABD"/>
    <w:rsid w:val="00D93BDB"/>
    <w:rsid w:val="00D93E21"/>
    <w:rsid w:val="00D9428B"/>
    <w:rsid w:val="00D94557"/>
    <w:rsid w:val="00D94573"/>
    <w:rsid w:val="00D9471C"/>
    <w:rsid w:val="00D94D31"/>
    <w:rsid w:val="00D94D5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A00"/>
    <w:rsid w:val="00DC5663"/>
    <w:rsid w:val="00DC5854"/>
    <w:rsid w:val="00DC5E26"/>
    <w:rsid w:val="00DC632B"/>
    <w:rsid w:val="00DC6395"/>
    <w:rsid w:val="00DC676A"/>
    <w:rsid w:val="00DC6B5D"/>
    <w:rsid w:val="00DC6C21"/>
    <w:rsid w:val="00DC6D69"/>
    <w:rsid w:val="00DC6DB7"/>
    <w:rsid w:val="00DC6E19"/>
    <w:rsid w:val="00DC7422"/>
    <w:rsid w:val="00DC74D5"/>
    <w:rsid w:val="00DC778F"/>
    <w:rsid w:val="00DC790F"/>
    <w:rsid w:val="00DC7A18"/>
    <w:rsid w:val="00DD03D7"/>
    <w:rsid w:val="00DD08C9"/>
    <w:rsid w:val="00DD101E"/>
    <w:rsid w:val="00DD1810"/>
    <w:rsid w:val="00DD1843"/>
    <w:rsid w:val="00DD2167"/>
    <w:rsid w:val="00DD21DE"/>
    <w:rsid w:val="00DD225D"/>
    <w:rsid w:val="00DD238F"/>
    <w:rsid w:val="00DD27AE"/>
    <w:rsid w:val="00DD2876"/>
    <w:rsid w:val="00DD2A89"/>
    <w:rsid w:val="00DD2D53"/>
    <w:rsid w:val="00DD2ED5"/>
    <w:rsid w:val="00DD3D5B"/>
    <w:rsid w:val="00DD4190"/>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333"/>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7044"/>
    <w:rsid w:val="00DE7539"/>
    <w:rsid w:val="00DE7B14"/>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BAA"/>
    <w:rsid w:val="00DF3E94"/>
    <w:rsid w:val="00DF4311"/>
    <w:rsid w:val="00DF438E"/>
    <w:rsid w:val="00DF47BA"/>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7A6"/>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6F6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AC"/>
    <w:rsid w:val="00E64DF3"/>
    <w:rsid w:val="00E651F9"/>
    <w:rsid w:val="00E653B1"/>
    <w:rsid w:val="00E657CC"/>
    <w:rsid w:val="00E65B14"/>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15"/>
    <w:rsid w:val="00E725FC"/>
    <w:rsid w:val="00E72737"/>
    <w:rsid w:val="00E729AB"/>
    <w:rsid w:val="00E72BD7"/>
    <w:rsid w:val="00E72D9D"/>
    <w:rsid w:val="00E73111"/>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2B"/>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BDF"/>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200"/>
    <w:rsid w:val="00E976A5"/>
    <w:rsid w:val="00E97726"/>
    <w:rsid w:val="00E97754"/>
    <w:rsid w:val="00E97807"/>
    <w:rsid w:val="00E97829"/>
    <w:rsid w:val="00E978AF"/>
    <w:rsid w:val="00E97CA1"/>
    <w:rsid w:val="00EA04C0"/>
    <w:rsid w:val="00EA0709"/>
    <w:rsid w:val="00EA0D19"/>
    <w:rsid w:val="00EA134A"/>
    <w:rsid w:val="00EA22F1"/>
    <w:rsid w:val="00EA2715"/>
    <w:rsid w:val="00EA2804"/>
    <w:rsid w:val="00EA283D"/>
    <w:rsid w:val="00EA2880"/>
    <w:rsid w:val="00EA2FC5"/>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09"/>
    <w:rsid w:val="00EE77D8"/>
    <w:rsid w:val="00EE780F"/>
    <w:rsid w:val="00EE7E68"/>
    <w:rsid w:val="00EF0437"/>
    <w:rsid w:val="00EF0A21"/>
    <w:rsid w:val="00EF0C5A"/>
    <w:rsid w:val="00EF1299"/>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719"/>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6D67"/>
    <w:rsid w:val="00F07639"/>
    <w:rsid w:val="00F07A8D"/>
    <w:rsid w:val="00F07D40"/>
    <w:rsid w:val="00F07ED4"/>
    <w:rsid w:val="00F10652"/>
    <w:rsid w:val="00F10BC1"/>
    <w:rsid w:val="00F10F23"/>
    <w:rsid w:val="00F10F89"/>
    <w:rsid w:val="00F11594"/>
    <w:rsid w:val="00F11C42"/>
    <w:rsid w:val="00F11CDB"/>
    <w:rsid w:val="00F11F39"/>
    <w:rsid w:val="00F1277B"/>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287"/>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EB"/>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1AAC"/>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6BA"/>
    <w:rsid w:val="00F66BD6"/>
    <w:rsid w:val="00F66DDC"/>
    <w:rsid w:val="00F66F8F"/>
    <w:rsid w:val="00F67131"/>
    <w:rsid w:val="00F67164"/>
    <w:rsid w:val="00F672F4"/>
    <w:rsid w:val="00F67627"/>
    <w:rsid w:val="00F67FEA"/>
    <w:rsid w:val="00F71732"/>
    <w:rsid w:val="00F71891"/>
    <w:rsid w:val="00F72357"/>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6E3"/>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591E"/>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C7E23"/>
    <w:rsid w:val="00FD01D9"/>
    <w:rsid w:val="00FD0813"/>
    <w:rsid w:val="00FD15CB"/>
    <w:rsid w:val="00FD2719"/>
    <w:rsid w:val="00FD29DA"/>
    <w:rsid w:val="00FD2ED6"/>
    <w:rsid w:val="00FD32BA"/>
    <w:rsid w:val="00FD32C4"/>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708"/>
    <w:rsid w:val="00FD7B73"/>
    <w:rsid w:val="00FE0452"/>
    <w:rsid w:val="00FE064E"/>
    <w:rsid w:val="00FE101E"/>
    <w:rsid w:val="00FE126D"/>
    <w:rsid w:val="00FE17C9"/>
    <w:rsid w:val="00FE206E"/>
    <w:rsid w:val="00FE26D1"/>
    <w:rsid w:val="00FE27C4"/>
    <w:rsid w:val="00FE2A27"/>
    <w:rsid w:val="00FE2DA3"/>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C2B"/>
    <w:rsid w:val="00FF0E58"/>
    <w:rsid w:val="00FF119D"/>
    <w:rsid w:val="00FF130E"/>
    <w:rsid w:val="00FF15EC"/>
    <w:rsid w:val="00FF2143"/>
    <w:rsid w:val="00FF2284"/>
    <w:rsid w:val="00FF23D6"/>
    <w:rsid w:val="00FF2778"/>
    <w:rsid w:val="00FF2980"/>
    <w:rsid w:val="00FF2AD0"/>
    <w:rsid w:val="00FF2EEE"/>
    <w:rsid w:val="00FF3173"/>
    <w:rsid w:val="00FF3378"/>
    <w:rsid w:val="00FF3430"/>
    <w:rsid w:val="00FF36E3"/>
    <w:rsid w:val="00FF3C26"/>
    <w:rsid w:val="00FF3CF6"/>
    <w:rsid w:val="00FF430D"/>
    <w:rsid w:val="00FF4684"/>
    <w:rsid w:val="00FF4937"/>
    <w:rsid w:val="00FF4EDD"/>
    <w:rsid w:val="00FF5604"/>
    <w:rsid w:val="00FF5761"/>
    <w:rsid w:val="00FF5797"/>
    <w:rsid w:val="00FF5EBE"/>
    <w:rsid w:val="00FF611F"/>
    <w:rsid w:val="00FF64D7"/>
    <w:rsid w:val="00FF680F"/>
    <w:rsid w:val="00FF6848"/>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tabs>
        <w:tab w:val="clear" w:pos="846"/>
        <w:tab w:val="num" w:pos="576"/>
      </w:tabs>
      <w:spacing w:before="180"/>
      <w:ind w:left="576"/>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 w:type="character" w:customStyle="1" w:styleId="WW8Num26z1">
    <w:name w:val="WW8Num26z1"/>
    <w:rsid w:val="00A10DA9"/>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6</Pages>
  <Words>1854</Words>
  <Characters>10571</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cp:lastModifiedBy>
  <cp:revision>4</cp:revision>
  <cp:lastPrinted>2016-09-19T16:11:00Z</cp:lastPrinted>
  <dcterms:created xsi:type="dcterms:W3CDTF">2021-05-05T16:36:00Z</dcterms:created>
  <dcterms:modified xsi:type="dcterms:W3CDTF">2021-05-05T16:37:00Z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